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Rothstein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Chairman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890 5th Avenue Partners,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 Elm Place, Suite 206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Rye, NY 10580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890 5th Avenue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333-258343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Rothstein: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October 8,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136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reflects stock-based compensation expense for the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Condition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60" w:right="2559" w:hanging="5896"/>
        <w:spacing w:after="0" w:line="235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RSUs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that will not vest as a result of the Two-Step Merger but for which management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intends to ask the board of directors to waive the liquidity condition. Please address the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following: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the basis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including a pro forma adjustment for these awards in the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 w:right="275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Accounting adjustments related to the merger. In this regard, to the extent you</w:t>
      </w:r>
    </w:p>
    <w:p>
      <w:pPr>
        <w:ind w:left="6320" w:right="201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determine it is probable these awards will vest such that a pro forma adjustment may be</w:t>
      </w:r>
    </w:p>
    <w:p>
      <w:pPr>
        <w:ind w:left="120" w:right="35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necessary, this event would be a separate transaction from the Adam Rothstein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890 5th Avenue Partners,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8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and should be reflected as such in the pro forma financials. Refer to Article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11-01(a)(8). Alternatively, if vesting is not probable, revise to include a discussion of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additional compensation expense related to these awards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 forma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footnotes only.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the $22.0 million of compensation expense related to the 1 RSUs has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adjusted for the intended modification of these awards and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firstLine="737"/>
        <w:spacing w:after="0" w:line="230" w:lineRule="auto"/>
        <w:framePr w:w="1660" w:h="349" w:wrap="auto" w:vAnchor="page" w:hAnchor="page" w:x="280" w:y="1188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balanced November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so, tell us what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such modification had on the related compensation expense. In this regard, it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appears that the current pro forma adjustment related to the 8.1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awards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only slightly from $21.4 million as previously disclosed. Refer to ASC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718-20-35-2A.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reflect pro forma adjustment (EE) related to the 9,164,000 RSUs that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vest upon completion of the Merger in the December 31, 2020 pro forma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to assume such adjustments were made as of the beginning of the fiscal year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 Refer to Article 11-02(a)(6)(ii) of Regulation S-X. Management's Discussion and Analysis of Financial Condition and Results of Operations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BuzzFeed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Overview, page 175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response to prior comment 1 you explain that the nature of views may differ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substantially between platforms, which would appear to imply that the nature of the Time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Spent may differ among platforms. Please revise to provide a breakdown of the amount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percentage of Time Spent on your owned and operated sites versus other third-party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platforms. In this regard, such information would provide context to your discussion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percentage change in impressions on your owned and operated sites, which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attribute to the change in an aggregated measure of Time Spent, as well as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risk factor disclosure indicating a majority of your traffic engages with content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third-party platforms and if such platform providers deny access to your content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operations could be negatively impacted. Results of Operations, page 176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attribute the increase in revenue, in part, to the increase in the number of direct sold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programmatic impressions on your owned and operated properties. Please tell 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impact impressions from other third-party platforms had on revenue and to the extent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material, revise to include a quantified discussion of such impact. If you continue to refer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LastNameAdam Rothstein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only the increase in impressions on your owned and operated properties, revise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Name890</w:t>
      </w:r>
    </w:p>
    <w:p>
      <w:pPr>
        <w:ind w:left="74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5th Avenue</w:t>
      </w:r>
    </w:p>
    <w:p>
      <w:pPr>
        <w:ind w:left="1700"/>
        <w:spacing w:after="0"/>
        <w:tabs>
          <w:tab w:leader="none" w:pos="3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percentage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Partners,</w:t>
      </w:r>
    </w:p>
    <w:p>
      <w:pPr>
        <w:ind w:left="3380"/>
        <w:spacing w:after="0" w:line="237" w:lineRule="auto"/>
        <w:tabs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Inc.Spent on your owned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operated properties for a</w:t>
      </w: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Time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comparison.</w:t>
      </w:r>
    </w:p>
    <w:p>
      <w:pPr>
        <w:ind w:left="116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4, 2021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Rothstein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LastNameAdam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Rothstein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890 5th Avenue Partners,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4,</w:t>
      </w:r>
    </w:p>
    <w:p>
      <w:pPr>
        <w:spacing w:after="0" w:line="237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  <w:tab/>
        <w:t>Name890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5th Avenue Partners,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4, 2021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of New BuzzFeed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Brands, page 181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 have 24 million Gen Z and Millennial unique visitors across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and operated properties, Apple News, and YouTube, each month. Please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what period that number relates to and include such measure for each period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Melissa Kindelan, Senior Staff Accountant, at (202)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551-3564 or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Kathleen Collins, Accounting Branch Chief, at (202) 551-3499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Alexandra Barone,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Staff Attorney, at (202) 551-8816 or Larry Spirgel, Office Chief, at (202)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551-3815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Sanderson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2021-12-10T23:08:42Z</dcterms:created>
  <dcterms:modified xsi:type="dcterms:W3CDTF">2021-12-10T23:08:42Z</dcterms:modified>
</cp:coreProperties>
</file>