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w:t>
      </w:r>
    </w:p>
    <w:p>
      <w:pPr>
        <w:pStyle w:val="TextBody"/>
        <w:bidi w:val="0"/>
        <w:spacing w:lineRule="auto" w:line="288" w:before="200" w:after="283"/>
        <w:jc w:val="center"/>
        <w:rPr/>
      </w:pPr>
      <w:r>
        <w:rPr>
          <w:rFonts w:ascii="Times New Roman;sans-serif" w:hAnsi="Times New Roman;sans-serif"/>
          <w:b/>
          <w:color w:val="000000"/>
          <w:sz w:val="26"/>
        </w:rPr>
        <w:t>FORM</w:t>
      </w:r>
      <w:r>
        <w:rPr>
          <w:color w:val="000000"/>
        </w:rPr>
        <w:t xml:space="preserve"> </w:t>
      </w:r>
      <w:r>
        <w:rPr>
          <w:rFonts w:ascii="Times New Roman;sans-serif" w:hAnsi="Times New Roman;sans-serif"/>
          <w:b/>
          <w:color w:val="000000"/>
          <w:sz w:val="26"/>
        </w:rPr>
        <w:t>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c>
          <w:tcPr>
            <w:tcW w:w="83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16"/>
        </w:rPr>
        <w:t>For the fiscal year ended</w:t>
      </w:r>
      <w:r>
        <w:rPr>
          <w:color w:val="000000"/>
        </w:rPr>
        <w:t xml:space="preserve"> </w:t>
      </w:r>
      <w:r>
        <w:rPr>
          <w:rFonts w:ascii="Times New Roman;sans-serif" w:hAnsi="Times New Roman;sans-serif"/>
          <w:b/>
          <w:color w:val="000000"/>
          <w:sz w:val="16"/>
        </w:rPr>
        <w:t>December 31, 2023</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      .</w:t>
      </w:r>
    </w:p>
    <w:p>
      <w:pPr>
        <w:pStyle w:val="TextBody"/>
        <w:bidi w:val="0"/>
        <w:spacing w:lineRule="auto" w:line="288" w:before="60" w:after="283"/>
        <w:jc w:val="center"/>
        <w:rPr/>
      </w:pPr>
      <w:r>
        <w:rPr>
          <w:rFonts w:ascii="Times New Roman;sans-serif" w:hAnsi="Times New Roman;sans-serif"/>
          <w:b/>
          <w:color w:val="000000"/>
          <w:sz w:val="16"/>
        </w:rPr>
        <w:t>Commission file number</w:t>
      </w:r>
      <w:r>
        <w:rPr>
          <w:color w:val="000000"/>
        </w:rPr>
        <w:t xml:space="preserve"> </w:t>
      </w:r>
      <w:r>
        <w:rPr>
          <w:rFonts w:ascii="Times New Roman;sans-serif" w:hAnsi="Times New Roman;sans-serif"/>
          <w:b/>
          <w:color w:val="000000"/>
          <w:sz w:val="16"/>
        </w:rPr>
        <w:t>001-39877</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w:t>
      </w:r>
    </w:p>
    <w:p>
      <w:pPr>
        <w:pStyle w:val="TextBody"/>
        <w:bidi w:val="0"/>
        <w:spacing w:lineRule="auto" w:line="288" w:before="120" w:after="283"/>
        <w:jc w:val="center"/>
        <w:rPr>
          <w:rFonts w:ascii="Times New Roman;sans-serif" w:hAnsi="Times New Roman;sans-serif"/>
          <w:b/>
          <w:color w:val="000000"/>
          <w:sz w:val="30"/>
        </w:rPr>
      </w:pPr>
      <w:r>
        <w:rPr>
          <w:rFonts w:ascii="Times New Roman;sans-serif" w:hAnsi="Times New Roman;sans-serif"/>
          <w:b/>
          <w:color w:val="000000"/>
          <w:sz w:val="30"/>
        </w:rPr>
        <w:t>BuzzFeed,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w:t>
      </w:r>
    </w:p>
    <w:tbl>
      <w:tblPr>
        <w:tblW w:w="7304" w:type="dxa"/>
        <w:jc w:val="left"/>
        <w:tblInd w:w="0" w:type="dxa"/>
        <w:tblLayout w:type="fixed"/>
        <w:tblCellMar>
          <w:top w:w="28" w:type="dxa"/>
          <w:left w:w="28" w:type="dxa"/>
          <w:bottom w:w="28" w:type="dxa"/>
          <w:right w:w="28" w:type="dxa"/>
        </w:tblCellMar>
      </w:tblPr>
      <w:tblGrid>
        <w:gridCol w:w="1652"/>
        <w:gridCol w:w="1450"/>
        <w:gridCol w:w="1458"/>
        <w:gridCol w:w="799"/>
        <w:gridCol w:w="799"/>
        <w:gridCol w:w="1146"/>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85-3022075</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229 West 43rd Street New York, New York</w:t>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10036</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(646) 397-2039</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74"/>
        <w:gridCol w:w="2015"/>
        <w:gridCol w:w="2042"/>
        <w:gridCol w:w="398"/>
        <w:gridCol w:w="398"/>
        <w:gridCol w:w="400"/>
        <w:gridCol w:w="724"/>
        <w:gridCol w:w="724"/>
        <w:gridCol w:w="1030"/>
      </w:tblGrid>
      <w:tr>
        <w:trPr/>
        <w:tc>
          <w:tcPr>
            <w:tcW w:w="2474"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65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24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65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11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BZFD</w:t>
            </w:r>
          </w:p>
        </w:tc>
        <w:tc>
          <w:tcPr>
            <w:tcW w:w="24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65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Redeemable warrants, each whole warrant exercisable for one share of Class A Common Stock at an exercise price of $11.50 per share</w:t>
            </w:r>
          </w:p>
        </w:tc>
        <w:tc>
          <w:tcPr>
            <w:tcW w:w="11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BZFDW</w:t>
            </w:r>
          </w:p>
        </w:tc>
        <w:tc>
          <w:tcPr>
            <w:tcW w:w="247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12(g) of the Act: None</w:t>
      </w:r>
    </w:p>
    <w:p>
      <w:pPr>
        <w:pStyle w:val="TextBody"/>
        <w:bidi w:val="0"/>
        <w:spacing w:lineRule="auto" w:line="288" w:before="60" w:after="283"/>
        <w:jc w:val="center"/>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center"/>
        <w:rPr/>
      </w:pPr>
      <w:r>
        <w:rPr>
          <w:rFonts w:ascii="Times New Roman;sans-serif" w:hAnsi="Times New Roman;sans-serif"/>
          <w:b w:val="false"/>
          <w:color w:val="000000"/>
          <w:sz w:val="16"/>
        </w:rPr>
        <w:t xml:space="preserve">Indicate by check mark if the registrant is not required to file reports pursuant to Section 13 or Section 15(d) of the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center"/>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center"/>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7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60" w:after="283"/>
        <w:jc w:val="center"/>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o</w:t>
      </w:r>
    </w:p>
    <w:p>
      <w:pPr>
        <w:pStyle w:val="TextBody"/>
        <w:bidi w:val="0"/>
        <w:spacing w:lineRule="auto" w:line="288" w:before="60" w:after="283"/>
        <w:jc w:val="center"/>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88" w:before="60" w:after="283"/>
        <w:jc w:val="center"/>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88" w:before="60" w:after="283"/>
        <w:jc w:val="center"/>
        <w:rPr/>
      </w:pPr>
      <w:r>
        <w:rPr>
          <w:rFonts w:ascii="Times New Roman;sans-serif" w:hAnsi="Times New Roman;sans-serif"/>
          <w:b w:val="false"/>
          <w:color w:val="000000"/>
          <w:sz w:val="16"/>
        </w:rPr>
        <w:t xml:space="preserve">Indicate by check mark whether the registrant is a shell company (as defined in Rule 12b-2 of the Exchange Act).Yes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registrant’s Class A common stock held by non-affiliates, based on the closing sale price as reported by the Nasdaq Stock Market LLC on June 30, 2023, the last business day of the registrant’s most recently completed second fiscal quarter, was approximately $57.1 million. Shares of common stock beneficially owned by each executive officer, director, and holder of more than 10% of common stock have been excluded in that such persons may be deemed to be affiliates.</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 of March 27, 2024, there were 140,315,010 shares of the registrant’s Class A common stock outstanding, 5,473,940 shares of the registrant’s Class B common stock outstanding, and no shares of the registrant’s Class C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74"/>
        <w:gridCol w:w="241"/>
        <w:gridCol w:w="243"/>
        <w:gridCol w:w="2983"/>
        <w:gridCol w:w="2977"/>
        <w:gridCol w:w="3017"/>
        <w:gridCol w:w="136"/>
        <w:gridCol w:w="136"/>
        <w:gridCol w:w="198"/>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16">
              <w:r>
                <w:rPr>
                  <w:rStyle w:val="InternetLink"/>
                  <w:rFonts w:ascii="Times New Roman;sans-serif" w:hAnsi="Times New Roman;sans-serif"/>
                  <w:b/>
                  <w:color w:val="0000FF"/>
                  <w:sz w:val="20"/>
                  <w:u w:val="single"/>
                </w:rPr>
                <w:t>PART I</w:t>
              </w:r>
            </w:hyperlink>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19">
              <w:r>
                <w:rPr>
                  <w:rStyle w:val="InternetLink"/>
                  <w:rFonts w:ascii="Times New Roman;sans-serif" w:hAnsi="Times New Roman;sans-serif"/>
                  <w:b w:val="false"/>
                  <w:color w:val="0000FF"/>
                  <w:sz w:val="20"/>
                  <w:u w:val="single"/>
                </w:rPr>
                <w:t>Item 1</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19">
              <w:r>
                <w:rPr>
                  <w:rStyle w:val="InternetLink"/>
                  <w:rFonts w:ascii="Times New Roman;sans-serif" w:hAnsi="Times New Roman;sans-serif"/>
                  <w:b w:val="false"/>
                  <w:color w:val="0000FF"/>
                  <w:sz w:val="20"/>
                  <w:u w:val="single"/>
                </w:rPr>
                <w:t>Business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19">
              <w:r>
                <w:rPr>
                  <w:rStyle w:val="InternetLink"/>
                  <w:rFonts w:ascii="Times New Roman;sans-serif" w:hAnsi="Times New Roman;sans-serif"/>
                  <w:b w:val="false"/>
                  <w:strike w:val="false"/>
                  <w:dstrike w:val="false"/>
                  <w:color w:val="000000"/>
                  <w:sz w:val="20"/>
                  <w:u w:val="none"/>
                  <w:effect w:val="none"/>
                </w:rPr>
                <w:t>5</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2">
              <w:r>
                <w:rPr>
                  <w:rStyle w:val="InternetLink"/>
                  <w:rFonts w:ascii="Times New Roman;sans-serif" w:hAnsi="Times New Roman;sans-serif"/>
                  <w:b w:val="false"/>
                  <w:color w:val="0000FF"/>
                  <w:sz w:val="20"/>
                  <w:u w:val="single"/>
                </w:rPr>
                <w:t>Item 1A</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2">
              <w:r>
                <w:rPr>
                  <w:rStyle w:val="InternetLink"/>
                  <w:rFonts w:ascii="Times New Roman;sans-serif" w:hAnsi="Times New Roman;sans-serif"/>
                  <w:b w:val="false"/>
                  <w:color w:val="0000FF"/>
                  <w:sz w:val="20"/>
                  <w:u w:val="single"/>
                </w:rPr>
                <w:t>Risk Factors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2">
              <w:r>
                <w:rPr>
                  <w:rStyle w:val="InternetLink"/>
                  <w:rFonts w:ascii="Times New Roman;sans-serif" w:hAnsi="Times New Roman;sans-serif"/>
                  <w:b w:val="false"/>
                  <w:strike w:val="false"/>
                  <w:dstrike w:val="false"/>
                  <w:color w:val="000000"/>
                  <w:sz w:val="20"/>
                  <w:u w:val="none"/>
                  <w:effect w:val="none"/>
                </w:rPr>
                <w:t>13</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5">
              <w:r>
                <w:rPr>
                  <w:rStyle w:val="InternetLink"/>
                  <w:rFonts w:ascii="Times New Roman;sans-serif" w:hAnsi="Times New Roman;sans-serif"/>
                  <w:b w:val="false"/>
                  <w:color w:val="0000FF"/>
                  <w:sz w:val="20"/>
                  <w:u w:val="single"/>
                </w:rPr>
                <w:t>Item 1B</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5">
              <w:r>
                <w:rPr>
                  <w:rStyle w:val="InternetLink"/>
                  <w:rFonts w:ascii="Times New Roman;sans-serif" w:hAnsi="Times New Roman;sans-serif"/>
                  <w:b w:val="false"/>
                  <w:color w:val="0000FF"/>
                  <w:sz w:val="20"/>
                  <w:u w:val="single"/>
                </w:rPr>
                <w:t>Unresolved Staff Comments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5">
              <w:r>
                <w:rPr>
                  <w:rStyle w:val="InternetLink"/>
                  <w:rFonts w:ascii="Times New Roman;sans-serif" w:hAnsi="Times New Roman;sans-serif"/>
                  <w:b w:val="false"/>
                  <w:strike w:val="false"/>
                  <w:dstrike w:val="false"/>
                  <w:color w:val="000000"/>
                  <w:sz w:val="20"/>
                  <w:u w:val="none"/>
                  <w:effect w:val="none"/>
                </w:rPr>
                <w:t>45</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804">
              <w:r>
                <w:rPr>
                  <w:rStyle w:val="InternetLink"/>
                  <w:rFonts w:ascii="Times New Roman;sans-serif" w:hAnsi="Times New Roman;sans-serif"/>
                  <w:b w:val="false"/>
                  <w:color w:val="0000FF"/>
                  <w:sz w:val="20"/>
                  <w:u w:val="single"/>
                </w:rPr>
                <w:t>Item 1C</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804">
              <w:r>
                <w:rPr>
                  <w:rStyle w:val="InternetLink"/>
                  <w:rFonts w:ascii="Times New Roman;sans-serif" w:hAnsi="Times New Roman;sans-serif"/>
                  <w:b w:val="false"/>
                  <w:color w:val="0000FF"/>
                  <w:sz w:val="20"/>
                  <w:u w:val="single"/>
                </w:rPr>
                <w:t>Cybersecurity</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804">
              <w:r>
                <w:rPr>
                  <w:rStyle w:val="InternetLink"/>
                  <w:rFonts w:ascii="Times New Roman;sans-serif" w:hAnsi="Times New Roman;sans-serif"/>
                  <w:b w:val="false"/>
                  <w:strike w:val="false"/>
                  <w:dstrike w:val="false"/>
                  <w:color w:val="000000"/>
                  <w:sz w:val="20"/>
                  <w:u w:val="none"/>
                  <w:effect w:val="none"/>
                </w:rPr>
                <w:t>46</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8">
              <w:r>
                <w:rPr>
                  <w:rStyle w:val="InternetLink"/>
                  <w:rFonts w:ascii="Times New Roman;sans-serif" w:hAnsi="Times New Roman;sans-serif"/>
                  <w:b w:val="false"/>
                  <w:color w:val="0000FF"/>
                  <w:sz w:val="20"/>
                  <w:u w:val="single"/>
                </w:rPr>
                <w:t>Item 2</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8">
              <w:r>
                <w:rPr>
                  <w:rStyle w:val="InternetLink"/>
                  <w:rFonts w:ascii="Times New Roman;sans-serif" w:hAnsi="Times New Roman;sans-serif"/>
                  <w:b w:val="false"/>
                  <w:color w:val="0000FF"/>
                  <w:sz w:val="20"/>
                  <w:u w:val="single"/>
                </w:rPr>
                <w:t>Properties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8">
              <w:r>
                <w:rPr>
                  <w:rStyle w:val="InternetLink"/>
                  <w:rFonts w:ascii="Times New Roman;sans-serif" w:hAnsi="Times New Roman;sans-serif"/>
                  <w:b w:val="false"/>
                  <w:strike w:val="false"/>
                  <w:dstrike w:val="false"/>
                  <w:color w:val="000000"/>
                  <w:sz w:val="20"/>
                  <w:u w:val="none"/>
                  <w:effect w:val="none"/>
                </w:rPr>
                <w:t>46</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31">
              <w:r>
                <w:rPr>
                  <w:rStyle w:val="InternetLink"/>
                  <w:rFonts w:ascii="Times New Roman;sans-serif" w:hAnsi="Times New Roman;sans-serif"/>
                  <w:b w:val="false"/>
                  <w:color w:val="0000FF"/>
                  <w:sz w:val="20"/>
                  <w:u w:val="single"/>
                </w:rPr>
                <w:t>Item 3</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31">
              <w:r>
                <w:rPr>
                  <w:rStyle w:val="InternetLink"/>
                  <w:rFonts w:ascii="Times New Roman;sans-serif" w:hAnsi="Times New Roman;sans-serif"/>
                  <w:b w:val="false"/>
                  <w:color w:val="0000FF"/>
                  <w:sz w:val="20"/>
                  <w:u w:val="single"/>
                </w:rPr>
                <w:t>Legal Proceedings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31">
              <w:r>
                <w:rPr>
                  <w:rStyle w:val="InternetLink"/>
                  <w:rFonts w:ascii="Times New Roman;sans-serif" w:hAnsi="Times New Roman;sans-serif"/>
                  <w:b w:val="false"/>
                  <w:strike w:val="false"/>
                  <w:dstrike w:val="false"/>
                  <w:color w:val="000000"/>
                  <w:sz w:val="20"/>
                  <w:u w:val="none"/>
                  <w:effect w:val="none"/>
                </w:rPr>
                <w:t>47</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34">
              <w:r>
                <w:rPr>
                  <w:rStyle w:val="InternetLink"/>
                  <w:rFonts w:ascii="Times New Roman;sans-serif" w:hAnsi="Times New Roman;sans-serif"/>
                  <w:b w:val="false"/>
                  <w:color w:val="0000FF"/>
                  <w:sz w:val="20"/>
                  <w:u w:val="single"/>
                </w:rPr>
                <w:t>Item 4</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34">
              <w:r>
                <w:rPr>
                  <w:rStyle w:val="InternetLink"/>
                  <w:rFonts w:ascii="Times New Roman;sans-serif" w:hAnsi="Times New Roman;sans-serif"/>
                  <w:b w:val="false"/>
                  <w:color w:val="0000FF"/>
                  <w:sz w:val="20"/>
                  <w:u w:val="single"/>
                </w:rPr>
                <w:t>Mine Safety Disclosures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34">
              <w:r>
                <w:rPr>
                  <w:rStyle w:val="InternetLink"/>
                  <w:rFonts w:ascii="Times New Roman;sans-serif" w:hAnsi="Times New Roman;sans-serif"/>
                  <w:b w:val="false"/>
                  <w:strike w:val="false"/>
                  <w:dstrike w:val="false"/>
                  <w:color w:val="000000"/>
                  <w:sz w:val="20"/>
                  <w:u w:val="none"/>
                  <w:effect w:val="none"/>
                </w:rPr>
                <w:t>48</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37">
              <w:r>
                <w:rPr>
                  <w:rStyle w:val="InternetLink"/>
                  <w:rFonts w:ascii="Times New Roman;sans-serif" w:hAnsi="Times New Roman;sans-serif"/>
                  <w:b/>
                  <w:color w:val="0000FF"/>
                  <w:sz w:val="20"/>
                  <w:u w:val="single"/>
                </w:rPr>
                <w:t>PART II</w:t>
              </w:r>
            </w:hyperlink>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40">
              <w:r>
                <w:rPr>
                  <w:rStyle w:val="InternetLink"/>
                  <w:rFonts w:ascii="Times New Roman;sans-serif" w:hAnsi="Times New Roman;sans-serif"/>
                  <w:b w:val="false"/>
                  <w:color w:val="0000FF"/>
                  <w:sz w:val="20"/>
                  <w:u w:val="single"/>
                </w:rPr>
                <w:t>Item 5</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40">
              <w:r>
                <w:rPr>
                  <w:rStyle w:val="InternetLink"/>
                  <w:rFonts w:ascii="Times New Roman;sans-serif" w:hAnsi="Times New Roman;sans-serif"/>
                  <w:b w:val="false"/>
                  <w:strike w:val="false"/>
                  <w:dstrike w:val="false"/>
                  <w:color w:val="000000"/>
                  <w:sz w:val="20"/>
                  <w:u w:val="none"/>
                  <w:effect w:val="none"/>
                </w:rPr>
                <w:t>48</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43">
              <w:r>
                <w:rPr>
                  <w:rStyle w:val="InternetLink"/>
                  <w:rFonts w:ascii="Times New Roman;sans-serif" w:hAnsi="Times New Roman;sans-serif"/>
                  <w:b w:val="false"/>
                  <w:color w:val="0000FF"/>
                  <w:sz w:val="20"/>
                  <w:u w:val="single"/>
                </w:rPr>
                <w:t>Item 6</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43">
              <w:r>
                <w:rPr>
                  <w:rStyle w:val="InternetLink"/>
                  <w:rFonts w:ascii="Times New Roman;sans-serif" w:hAnsi="Times New Roman;sans-serif"/>
                  <w:b w:val="false"/>
                  <w:color w:val="0000FF"/>
                  <w:sz w:val="20"/>
                  <w:u w:val="single"/>
                </w:rPr>
                <w:t>[Reserved]</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43">
              <w:r>
                <w:rPr>
                  <w:rStyle w:val="InternetLink"/>
                  <w:rFonts w:ascii="Times New Roman;sans-serif" w:hAnsi="Times New Roman;sans-serif"/>
                  <w:b w:val="false"/>
                  <w:strike w:val="false"/>
                  <w:dstrike w:val="false"/>
                  <w:color w:val="000000"/>
                  <w:sz w:val="20"/>
                  <w:u w:val="none"/>
                  <w:effect w:val="none"/>
                </w:rPr>
                <w:t>49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46">
              <w:r>
                <w:rPr>
                  <w:rStyle w:val="InternetLink"/>
                  <w:rFonts w:ascii="Times New Roman;sans-serif" w:hAnsi="Times New Roman;sans-serif"/>
                  <w:b w:val="false"/>
                  <w:color w:val="0000FF"/>
                  <w:sz w:val="20"/>
                  <w:u w:val="single"/>
                </w:rPr>
                <w:t>Item 7</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46">
              <w:r>
                <w:rPr>
                  <w:rStyle w:val="InternetLink"/>
                  <w:rFonts w:ascii="Times New Roman;sans-serif" w:hAnsi="Times New Roman;sans-serif"/>
                  <w:b w:val="false"/>
                  <w:strike w:val="false"/>
                  <w:dstrike w:val="false"/>
                  <w:color w:val="000000"/>
                  <w:sz w:val="20"/>
                  <w:u w:val="none"/>
                  <w:effect w:val="none"/>
                </w:rPr>
                <w:t>50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115">
              <w:r>
                <w:rPr>
                  <w:rStyle w:val="InternetLink"/>
                  <w:rFonts w:ascii="Times New Roman;sans-serif" w:hAnsi="Times New Roman;sans-serif"/>
                  <w:b w:val="false"/>
                  <w:color w:val="0000FF"/>
                  <w:sz w:val="20"/>
                  <w:u w:val="single"/>
                </w:rPr>
                <w:t>Item 7A</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115">
              <w:r>
                <w:rPr>
                  <w:rStyle w:val="InternetLink"/>
                  <w:rFonts w:ascii="Times New Roman;sans-serif" w:hAnsi="Times New Roman;sans-serif"/>
                  <w:b w:val="false"/>
                  <w:color w:val="0000FF"/>
                  <w:sz w:val="20"/>
                  <w:u w:val="single"/>
                </w:rPr>
                <w:t>Quantitative and Qualitative Disclosures About Market Risk</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115">
              <w:r>
                <w:rPr>
                  <w:rStyle w:val="InternetLink"/>
                  <w:rFonts w:ascii="Times New Roman;sans-serif" w:hAnsi="Times New Roman;sans-serif"/>
                  <w:b w:val="false"/>
                  <w:strike w:val="false"/>
                  <w:dstrike w:val="false"/>
                  <w:color w:val="000000"/>
                  <w:sz w:val="20"/>
                  <w:u w:val="none"/>
                  <w:effect w:val="none"/>
                </w:rPr>
                <w:t>69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118">
              <w:r>
                <w:rPr>
                  <w:rStyle w:val="InternetLink"/>
                  <w:rFonts w:ascii="Times New Roman;sans-serif" w:hAnsi="Times New Roman;sans-serif"/>
                  <w:b w:val="false"/>
                  <w:color w:val="0000FF"/>
                  <w:sz w:val="20"/>
                  <w:u w:val="single"/>
                </w:rPr>
                <w:t>Item 8</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118">
              <w:r>
                <w:rPr>
                  <w:rStyle w:val="InternetLink"/>
                  <w:rFonts w:ascii="Times New Roman;sans-serif" w:hAnsi="Times New Roman;sans-serif"/>
                  <w:b w:val="false"/>
                  <w:color w:val="0000FF"/>
                  <w:sz w:val="20"/>
                  <w:u w:val="single"/>
                </w:rPr>
                <w:t>Financial Statements and Supplementary Data</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118">
              <w:r>
                <w:rPr>
                  <w:rStyle w:val="InternetLink"/>
                  <w:rFonts w:ascii="Times New Roman;sans-serif" w:hAnsi="Times New Roman;sans-serif"/>
                  <w:b w:val="false"/>
                  <w:strike w:val="false"/>
                  <w:dstrike w:val="false"/>
                  <w:color w:val="000000"/>
                  <w:sz w:val="20"/>
                  <w:u w:val="none"/>
                  <w:effect w:val="none"/>
                </w:rPr>
                <w:t>71</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11">
              <w:r>
                <w:rPr>
                  <w:rStyle w:val="InternetLink"/>
                  <w:rFonts w:ascii="Times New Roman;sans-serif" w:hAnsi="Times New Roman;sans-serif"/>
                  <w:b w:val="false"/>
                  <w:color w:val="0000FF"/>
                  <w:sz w:val="20"/>
                  <w:u w:val="single"/>
                </w:rPr>
                <w:t>Item 9</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11">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11">
              <w:r>
                <w:rPr>
                  <w:rStyle w:val="InternetLink"/>
                  <w:rFonts w:ascii="Times New Roman;sans-serif" w:hAnsi="Times New Roman;sans-serif"/>
                  <w:b w:val="false"/>
                  <w:strike w:val="false"/>
                  <w:dstrike w:val="false"/>
                  <w:color w:val="000000"/>
                  <w:sz w:val="20"/>
                  <w:u w:val="none"/>
                  <w:effect w:val="none"/>
                </w:rPr>
                <w:t>117</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14">
              <w:r>
                <w:rPr>
                  <w:rStyle w:val="InternetLink"/>
                  <w:rFonts w:ascii="Times New Roman;sans-serif" w:hAnsi="Times New Roman;sans-serif"/>
                  <w:b w:val="false"/>
                  <w:color w:val="0000FF"/>
                  <w:sz w:val="20"/>
                  <w:u w:val="single"/>
                </w:rPr>
                <w:t>Item 9A</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14">
              <w:r>
                <w:rPr>
                  <w:rStyle w:val="InternetLink"/>
                  <w:rFonts w:ascii="Times New Roman;sans-serif" w:hAnsi="Times New Roman;sans-serif"/>
                  <w:b w:val="false"/>
                  <w:color w:val="0000FF"/>
                  <w:sz w:val="20"/>
                  <w:u w:val="single"/>
                </w:rPr>
                <w:t>Controls and Procedures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14">
              <w:r>
                <w:rPr>
                  <w:rStyle w:val="InternetLink"/>
                  <w:rFonts w:ascii="Times New Roman;sans-serif" w:hAnsi="Times New Roman;sans-serif"/>
                  <w:b w:val="false"/>
                  <w:strike w:val="false"/>
                  <w:dstrike w:val="false"/>
                  <w:color w:val="000000"/>
                  <w:sz w:val="20"/>
                  <w:u w:val="none"/>
                  <w:effect w:val="none"/>
                </w:rPr>
                <w:t>117</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17">
              <w:r>
                <w:rPr>
                  <w:rStyle w:val="InternetLink"/>
                  <w:rFonts w:ascii="Times New Roman;sans-serif" w:hAnsi="Times New Roman;sans-serif"/>
                  <w:b w:val="false"/>
                  <w:color w:val="0000FF"/>
                  <w:sz w:val="20"/>
                  <w:u w:val="single"/>
                </w:rPr>
                <w:t>Item 9B</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17">
              <w:r>
                <w:rPr>
                  <w:rStyle w:val="InternetLink"/>
                  <w:rFonts w:ascii="Times New Roman;sans-serif" w:hAnsi="Times New Roman;sans-serif"/>
                  <w:b w:val="false"/>
                  <w:color w:val="0000FF"/>
                  <w:sz w:val="20"/>
                  <w:u w:val="single"/>
                </w:rPr>
                <w:t>Other Information</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17">
              <w:r>
                <w:rPr>
                  <w:rStyle w:val="InternetLink"/>
                  <w:rFonts w:ascii="Times New Roman;sans-serif" w:hAnsi="Times New Roman;sans-serif"/>
                  <w:b w:val="false"/>
                  <w:strike w:val="false"/>
                  <w:dstrike w:val="false"/>
                  <w:color w:val="000000"/>
                  <w:sz w:val="20"/>
                  <w:u w:val="none"/>
                  <w:effect w:val="none"/>
                </w:rPr>
                <w:t>119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20">
              <w:r>
                <w:rPr>
                  <w:rStyle w:val="InternetLink"/>
                  <w:rFonts w:ascii="Times New Roman;sans-serif" w:hAnsi="Times New Roman;sans-serif"/>
                  <w:b w:val="false"/>
                  <w:color w:val="0000FF"/>
                  <w:sz w:val="20"/>
                  <w:u w:val="single"/>
                </w:rPr>
                <w:t>Item 9C</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20">
              <w:r>
                <w:rPr>
                  <w:rStyle w:val="InternetLink"/>
                  <w:rFonts w:ascii="Times New Roman;sans-serif" w:hAnsi="Times New Roman;sans-serif"/>
                  <w:b w:val="false"/>
                  <w:color w:val="0000FF"/>
                  <w:sz w:val="20"/>
                  <w:u w:val="single"/>
                </w:rPr>
                <w:t>Disclosure Regarding Foreign Jurisdictions that Prevent Inspect</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20">
              <w:r>
                <w:rPr>
                  <w:rStyle w:val="InternetLink"/>
                  <w:rFonts w:ascii="Times New Roman;sans-serif" w:hAnsi="Times New Roman;sans-serif"/>
                  <w:b w:val="false"/>
                  <w:strike w:val="false"/>
                  <w:dstrike w:val="false"/>
                  <w:color w:val="000000"/>
                  <w:sz w:val="20"/>
                  <w:u w:val="none"/>
                  <w:effect w:val="none"/>
                </w:rPr>
                <w:t>119</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23">
              <w:r>
                <w:rPr>
                  <w:rStyle w:val="InternetLink"/>
                  <w:rFonts w:ascii="Times New Roman;sans-serif" w:hAnsi="Times New Roman;sans-serif"/>
                  <w:b/>
                  <w:color w:val="0000FF"/>
                  <w:sz w:val="20"/>
                  <w:u w:val="single"/>
                </w:rPr>
                <w:t>PART III</w:t>
              </w:r>
            </w:hyperlink>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26">
              <w:r>
                <w:rPr>
                  <w:rStyle w:val="InternetLink"/>
                  <w:rFonts w:ascii="Times New Roman;sans-serif" w:hAnsi="Times New Roman;sans-serif"/>
                  <w:b w:val="false"/>
                  <w:color w:val="0000FF"/>
                  <w:sz w:val="20"/>
                  <w:u w:val="single"/>
                </w:rPr>
                <w:t>Item 10</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26">
              <w:r>
                <w:rPr>
                  <w:rStyle w:val="InternetLink"/>
                  <w:rFonts w:ascii="Times New Roman;sans-serif" w:hAnsi="Times New Roman;sans-serif"/>
                  <w:b w:val="false"/>
                  <w:color w:val="0000FF"/>
                  <w:sz w:val="20"/>
                  <w:u w:val="single"/>
                </w:rPr>
                <w:t>Directors, Executive Officers and Corporate Governance</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26">
              <w:r>
                <w:rPr>
                  <w:rStyle w:val="InternetLink"/>
                  <w:rFonts w:ascii="Times New Roman;sans-serif" w:hAnsi="Times New Roman;sans-serif"/>
                  <w:b w:val="false"/>
                  <w:strike w:val="false"/>
                  <w:dstrike w:val="false"/>
                  <w:color w:val="000000"/>
                  <w:sz w:val="20"/>
                  <w:u w:val="none"/>
                  <w:effect w:val="none"/>
                </w:rPr>
                <w:t>119</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29">
              <w:r>
                <w:rPr>
                  <w:rStyle w:val="InternetLink"/>
                  <w:rFonts w:ascii="Times New Roman;sans-serif" w:hAnsi="Times New Roman;sans-serif"/>
                  <w:b w:val="false"/>
                  <w:color w:val="0000FF"/>
                  <w:sz w:val="20"/>
                  <w:u w:val="single"/>
                </w:rPr>
                <w:t>Item 11</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29">
              <w:r>
                <w:rPr>
                  <w:rStyle w:val="InternetLink"/>
                  <w:rFonts w:ascii="Times New Roman;sans-serif" w:hAnsi="Times New Roman;sans-serif"/>
                  <w:b w:val="false"/>
                  <w:color w:val="0000FF"/>
                  <w:sz w:val="20"/>
                  <w:u w:val="single"/>
                </w:rPr>
                <w:t>Executive Compensation</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29">
              <w:r>
                <w:rPr>
                  <w:rStyle w:val="InternetLink"/>
                  <w:rFonts w:ascii="Times New Roman;sans-serif" w:hAnsi="Times New Roman;sans-serif"/>
                  <w:b w:val="false"/>
                  <w:strike w:val="false"/>
                  <w:dstrike w:val="false"/>
                  <w:color w:val="000000"/>
                  <w:sz w:val="20"/>
                  <w:u w:val="none"/>
                  <w:effect w:val="none"/>
                </w:rPr>
                <w:t>120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32">
              <w:r>
                <w:rPr>
                  <w:rStyle w:val="InternetLink"/>
                  <w:rFonts w:ascii="Times New Roman;sans-serif" w:hAnsi="Times New Roman;sans-serif"/>
                  <w:b w:val="false"/>
                  <w:color w:val="0000FF"/>
                  <w:sz w:val="20"/>
                  <w:u w:val="single"/>
                </w:rPr>
                <w:t>Item 12</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32">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32">
              <w:r>
                <w:rPr>
                  <w:rStyle w:val="InternetLink"/>
                  <w:rFonts w:ascii="Times New Roman;sans-serif" w:hAnsi="Times New Roman;sans-serif"/>
                  <w:b w:val="false"/>
                  <w:strike w:val="false"/>
                  <w:dstrike w:val="false"/>
                  <w:color w:val="000000"/>
                  <w:sz w:val="20"/>
                  <w:u w:val="none"/>
                  <w:effect w:val="none"/>
                </w:rPr>
                <w:t>120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35">
              <w:r>
                <w:rPr>
                  <w:rStyle w:val="InternetLink"/>
                  <w:rFonts w:ascii="Times New Roman;sans-serif" w:hAnsi="Times New Roman;sans-serif"/>
                  <w:b w:val="false"/>
                  <w:color w:val="0000FF"/>
                  <w:sz w:val="20"/>
                  <w:u w:val="single"/>
                </w:rPr>
                <w:t>Item 13</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35">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35">
              <w:r>
                <w:rPr>
                  <w:rStyle w:val="InternetLink"/>
                  <w:rFonts w:ascii="Times New Roman;sans-serif" w:hAnsi="Times New Roman;sans-serif"/>
                  <w:b w:val="false"/>
                  <w:strike w:val="false"/>
                  <w:dstrike w:val="false"/>
                  <w:color w:val="000000"/>
                  <w:sz w:val="20"/>
                  <w:u w:val="none"/>
                  <w:effect w:val="none"/>
                </w:rPr>
                <w:t>120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38">
              <w:r>
                <w:rPr>
                  <w:rStyle w:val="InternetLink"/>
                  <w:rFonts w:ascii="Times New Roman;sans-serif" w:hAnsi="Times New Roman;sans-serif"/>
                  <w:b w:val="false"/>
                  <w:color w:val="0000FF"/>
                  <w:sz w:val="20"/>
                  <w:u w:val="single"/>
                </w:rPr>
                <w:t>Item 14</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38">
              <w:r>
                <w:rPr>
                  <w:rStyle w:val="InternetLink"/>
                  <w:rFonts w:ascii="Times New Roman;sans-serif" w:hAnsi="Times New Roman;sans-serif"/>
                  <w:b w:val="false"/>
                  <w:color w:val="0000FF"/>
                  <w:sz w:val="20"/>
                  <w:u w:val="single"/>
                </w:rPr>
                <w:t>Principal Accounting Fees and Services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38">
              <w:r>
                <w:rPr>
                  <w:rStyle w:val="InternetLink"/>
                  <w:rFonts w:ascii="Times New Roman;sans-serif" w:hAnsi="Times New Roman;sans-serif"/>
                  <w:b w:val="false"/>
                  <w:strike w:val="false"/>
                  <w:dstrike w:val="false"/>
                  <w:color w:val="000000"/>
                  <w:sz w:val="20"/>
                  <w:u w:val="none"/>
                  <w:effect w:val="none"/>
                </w:rPr>
                <w:t>120</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41">
              <w:r>
                <w:rPr>
                  <w:rStyle w:val="InternetLink"/>
                  <w:rFonts w:ascii="Times New Roman;sans-serif" w:hAnsi="Times New Roman;sans-serif"/>
                  <w:b/>
                  <w:color w:val="0000FF"/>
                  <w:sz w:val="20"/>
                  <w:u w:val="single"/>
                </w:rPr>
                <w:t>PART IV</w:t>
              </w:r>
            </w:hyperlink>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44">
              <w:r>
                <w:rPr>
                  <w:rStyle w:val="InternetLink"/>
                  <w:rFonts w:ascii="Times New Roman;sans-serif" w:hAnsi="Times New Roman;sans-serif"/>
                  <w:b w:val="false"/>
                  <w:color w:val="0000FF"/>
                  <w:sz w:val="20"/>
                  <w:u w:val="single"/>
                </w:rPr>
                <w:t>Item 15</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44">
              <w:r>
                <w:rPr>
                  <w:rStyle w:val="InternetLink"/>
                  <w:rFonts w:ascii="Times New Roman;sans-serif" w:hAnsi="Times New Roman;sans-serif"/>
                  <w:b w:val="false"/>
                  <w:color w:val="0000FF"/>
                  <w:sz w:val="20"/>
                  <w:u w:val="single"/>
                </w:rPr>
                <w:t>Exhibits and Financial Statement Schedules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44">
              <w:r>
                <w:rPr>
                  <w:rStyle w:val="InternetLink"/>
                  <w:rFonts w:ascii="Times New Roman;sans-serif" w:hAnsi="Times New Roman;sans-serif"/>
                  <w:b w:val="false"/>
                  <w:strike w:val="false"/>
                  <w:dstrike w:val="false"/>
                  <w:color w:val="000000"/>
                  <w:sz w:val="20"/>
                  <w:u w:val="none"/>
                  <w:effect w:val="none"/>
                </w:rPr>
                <w:t>120</w:t>
              </w:r>
            </w:hyperlink>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47">
              <w:r>
                <w:rPr>
                  <w:rStyle w:val="InternetLink"/>
                  <w:rFonts w:ascii="Times New Roman;sans-serif" w:hAnsi="Times New Roman;sans-serif"/>
                  <w:b w:val="false"/>
                  <w:color w:val="0000FF"/>
                  <w:sz w:val="20"/>
                  <w:u w:val="single"/>
                </w:rPr>
                <w:t>Item 16</w:t>
              </w:r>
            </w:hyperlink>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47">
              <w:r>
                <w:rPr>
                  <w:rStyle w:val="InternetLink"/>
                  <w:rFonts w:ascii="Times New Roman;sans-serif" w:hAnsi="Times New Roman;sans-serif"/>
                  <w:b w:val="false"/>
                  <w:color w:val="0000FF"/>
                  <w:sz w:val="20"/>
                  <w:u w:val="single"/>
                </w:rPr>
                <w:t>Form 10-K Summary</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47">
              <w:r>
                <w:rPr>
                  <w:rStyle w:val="InternetLink"/>
                  <w:rFonts w:ascii="Times New Roman;sans-serif" w:hAnsi="Times New Roman;sans-serif"/>
                  <w:b w:val="false"/>
                  <w:strike w:val="false"/>
                  <w:dstrike w:val="false"/>
                  <w:color w:val="000000"/>
                  <w:sz w:val="20"/>
                  <w:u w:val="none"/>
                  <w:effect w:val="none"/>
                </w:rPr>
                <w:t>123</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6aface49ba94afe80ef181e468a62f6_250">
              <w:r>
                <w:rPr>
                  <w:rStyle w:val="InternetLink"/>
                  <w:rFonts w:ascii="Times New Roman;sans-serif" w:hAnsi="Times New Roman;sans-serif"/>
                  <w:b w:val="false"/>
                  <w:color w:val="0000FF"/>
                  <w:sz w:val="20"/>
                  <w:u w:val="single"/>
                </w:rPr>
                <w:t>Signatures</w:t>
              </w:r>
            </w:hyperlink>
          </w:p>
        </w:tc>
        <w:tc>
          <w:tcPr>
            <w:tcW w:w="470"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6aface49ba94afe80ef181e468a62f6_250">
              <w:r>
                <w:rPr>
                  <w:rStyle w:val="InternetLink"/>
                  <w:rFonts w:ascii="Times New Roman;sans-serif" w:hAnsi="Times New Roman;sans-serif"/>
                  <w:b w:val="false"/>
                  <w:strike w:val="false"/>
                  <w:dstrike w:val="false"/>
                  <w:color w:val="000000"/>
                  <w:sz w:val="20"/>
                  <w:u w:val="none"/>
                  <w:effect w:val="none"/>
                </w:rPr>
                <w:t>124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statements in this Annual Report on Form 10-K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“affect,”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 looking statements include all matters that are not historical facts.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(some of which are beyond our control), uncertainties or other assumptions that may cause actual results or performance to be materially different from those expressed or implied by these forward-looking statements. anticipated trends, growth rates, and challenges in our business and in the markets in which we operate. These risks and uncertainties include, but are not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developments relating to our competitors and the digital media industry, including overall demand of advertising in the markets in which we operate;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demand for our products and services or changes in traffic or engagement with our brands and content;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in the business and competitive environment in which we and our current and prospective partners and advertisers operate;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macroeconomic factors including: adverse economic conditions in the United States (“U.S.”) and globally, including the potential onset of recession; current global supply chain disruptions; potential government shutdowns or a failure to raise the U.S. federal debt ceiling or to fund the federal government; the ongoing conflicts between Russia and Ukraine and between Israel and Hamas and any related sanctions and geopolitical tensions, and further escalation of trade tensions between the U.S. and China; the inflationary environment; high unemployment; high interest rates, currency fluctuations; and the competitive labor market;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future capital requirements, including, but not limited to, our ability to obtain additional capital in the future, to settle conversions of our unsecured convertible notes, repurchase the notes upon a fundamental change such as the delisting of our Class A common stock, or repay the notes in cash at their maturity, any restrictions imposed by, or commitments under, the indenture governing the notes or agreements governing any future indebtedness, and any restrictions on our ability to access our cash and cash equivalents;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developments in the law and government regulation, including, but not limited to, revised foreign content and ownership regulations, and the outcomes of legal proceedings, regulatory disputes or governmental investigations to which we are subject;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benefits of our restructuring;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success divesting of companies, assets or brands we sell or in integrating and supporting the companies we acquire;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technological developments including artificial intelligence (“AI”);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success in retaining or recruiting, or changes required in, officers, other key employees or directors;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use of content creators and on-camera talent and relationships with third parties managing certain of our branded operations outside of the U.S.;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security of certain of our information technology (“IT”) systems or data;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disruption in our service, or by our failure to timely and effectively scale and adapt our existing technology and infrastructure;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maintain the listing of our Class A common stock and warrants on The Nasdaq Capital Market (“Nasdaq”);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factors detailed under the section entitled “Risk Factors.”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These and other factors could cause results to differ materially from those expressed in these publications and reports.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convenience, the terms “BuzzFeed,” the “Company,” “we,” “us” or “our” used in this Annual Report on Form 10-K refer to BuzzFeed, Inc. and one or more of our consolidated subsidiaries, unless the context otherwise requires.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88" w:before="240" w:after="283"/>
        <w:jc w:val="both"/>
        <w:rPr/>
      </w:pPr>
      <w:r>
        <w:rPr>
          <w:rFonts w:ascii="Times New Roman;sans-serif" w:hAnsi="Times New Roman;sans-serif"/>
          <w:b/>
          <w:color w:val="000000"/>
          <w:sz w:val="20"/>
        </w:rPr>
        <w:t xml:space="preserve">Our Company </w:t>
      </w:r>
      <w:r>
        <w:rPr>
          <w:color w:val="000000"/>
        </w:rPr>
        <w:t xml:space="preserve">— </w:t>
      </w:r>
      <w:r>
        <w:rPr>
          <w:rFonts w:ascii="Times New Roman;sans-serif" w:hAnsi="Times New Roman;sans-serif"/>
          <w:b/>
          <w:color w:val="000000"/>
          <w:sz w:val="20"/>
        </w:rPr>
        <w:t>Overview</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BuzzFeed is a premier digital media company for the most diverse, most online, and most socially connected generations the world has ever seen. Across entertainment, news, food, pop culture and commerce, our brands drive conversation and inspire what audiences watch, read, </w:t>
      </w:r>
      <w:r>
        <w:rPr>
          <w:rFonts w:ascii="Times New Roman;sans-serif" w:hAnsi="Times New Roman;sans-serif"/>
          <w:b w:val="false"/>
          <w:color w:val="000000"/>
          <w:sz w:val="20"/>
          <w:shd w:fill="FFFFFF" w:val="clear"/>
        </w:rPr>
        <w:t xml:space="preserve">and buy now </w:t>
      </w:r>
      <w:r>
        <w:rPr>
          <w:color w:val="000000"/>
        </w:rPr>
        <w:t xml:space="preserve">— </w:t>
      </w:r>
      <w:r>
        <w:rPr>
          <w:rFonts w:ascii="Times New Roman;sans-serif" w:hAnsi="Times New Roman;sans-serif"/>
          <w:b w:val="false"/>
          <w:color w:val="000000"/>
          <w:sz w:val="20"/>
          <w:shd w:fill="FFFFFF" w:val="clear"/>
        </w:rPr>
        <w:t>and into the future.</w:t>
      </w:r>
      <w:r>
        <w:rPr>
          <w:color w:val="000000"/>
        </w:rPr>
        <w:t xml:space="preserve"> </w:t>
      </w:r>
      <w:r>
        <w:rPr>
          <w:rFonts w:ascii="Times New Roman;sans-serif" w:hAnsi="Times New Roman;sans-serif"/>
          <w:b w:val="false"/>
          <w:color w:val="000000"/>
          <w:sz w:val="20"/>
        </w:rPr>
        <w:t>With a portfolio of iconic, globally-loved brands that includes BuzzFeed, HuffPost, Tasty, and First We Feast (including Hot Ones), we are the number one destination for audiences amongst our competitive set, in terms of time spent, according to Comscore.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BuzzFeed curates the Internet, and acts as an “inspiration engine,” driving both online and real-world action and transactions. Our strong audience signal and powerful content flywheel have enabled us to build category-leading brands, a deep, two-way connection with our audiences, and an engine for high-quality content at massive scale and low cost. As a result, each of our brands has a large, loyal, highly engaged audience that is very attractive to advertisers and creators, and through our rich first party data offering and contextual marketing solutions, we are able to help both advertisers and creators effectively and efficiently reach their target audiences. In 2023, our audiences consumed more than 300 million hours of content and drove </w:t>
      </w:r>
      <w:r>
        <w:rPr>
          <w:rFonts w:ascii="Times New Roman;sans-serif" w:hAnsi="Times New Roman;sans-serif"/>
          <w:b w:val="false"/>
          <w:color w:val="000000"/>
          <w:sz w:val="20"/>
          <w:shd w:fill="FFFFFF" w:val="clear"/>
        </w:rPr>
        <w:t xml:space="preserve">over </w:t>
      </w:r>
      <w:r>
        <w:rPr>
          <w:rFonts w:ascii="Times New Roman;sans-serif" w:hAnsi="Times New Roman;sans-serif"/>
          <w:b w:val="false"/>
          <w:color w:val="000000"/>
          <w:sz w:val="20"/>
        </w:rPr>
        <w:t>$500</w:t>
      </w:r>
      <w:r>
        <w:rPr>
          <w:color w:val="000000"/>
          <w:shd w:fill="FFFFFF" w:val="clear"/>
        </w:rPr>
        <w:t xml:space="preserve"> </w:t>
      </w:r>
      <w:r>
        <w:rPr>
          <w:rFonts w:ascii="Times New Roman;sans-serif" w:hAnsi="Times New Roman;sans-serif"/>
          <w:b w:val="false"/>
          <w:color w:val="000000"/>
          <w:sz w:val="20"/>
          <w:shd w:fill="FFFFFF" w:val="clear"/>
        </w:rPr>
        <w:t>million</w:t>
      </w:r>
      <w:r>
        <w:rPr>
          <w:color w:val="000000"/>
        </w:rPr>
        <w:t xml:space="preserve"> </w:t>
      </w:r>
      <w:r>
        <w:rPr>
          <w:rFonts w:ascii="Times New Roman;sans-serif" w:hAnsi="Times New Roman;sans-serif"/>
          <w:b w:val="false"/>
          <w:color w:val="000000"/>
          <w:sz w:val="20"/>
        </w:rPr>
        <w:t>in attributable transactions. For additional discussion on Time Spent, refer to Part II, Item 7. “Management’s Discussion and Analysis of Financial Condition and Results of Operations” in this Annual Report on Form 10-K. Note, Time Spent presented above excludes time spent on Facebook, as effective January 1, 2023, we exclude Facebook from our measure of Time Spent. Additionally, Time Spent presented above excludes time Spent on Complex Networks, as Complex Networks is presented as discontinued operations throughout this Annual Report on Form 10-K. Time Spent on Facebook and Complex Networks was approximately 58 million and 76 million hours in 2023, respectively.</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focused on revenue diversification and profitability (</w:t>
      </w:r>
      <w:r>
        <w:rPr>
          <w:rFonts w:ascii="Times New Roman;sans-serif" w:hAnsi="Times New Roman;sans-serif"/>
          <w:b w:val="false"/>
          <w:color w:val="000000"/>
          <w:sz w:val="20"/>
          <w:shd w:fill="FFFFFF" w:val="clear"/>
        </w:rPr>
        <w:t>on an Adjusted EBITDA basis, a non-GAAP measure as defined in Part II, Item 7. “Management’s Discussion and Analysis of Financial Condition and Results of Operation” elsewhere in this Annual Report on Form 10-K</w:t>
      </w:r>
      <w:r>
        <w:rPr>
          <w:rFonts w:ascii="Times New Roman;sans-serif" w:hAnsi="Times New Roman;sans-serif"/>
          <w:b w:val="false"/>
          <w:color w:val="000000"/>
          <w:sz w:val="20"/>
        </w:rPr>
        <w:t xml:space="preserve">). Our data-driven approach to content creation and our cross-platform distribution network have enabled us to monetize our content by delivering a comprehensive suite of digital advertising products and services and introducing new, complementary revenue streams.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Market Opportunity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BuzzFeed is well-positioned to adapt to the rapidly changing digital media environment. We have strong and differentiated IP in BuzzFeed, HuffPost, Tasty and First We Feast (including Hot Ones), each with a trusted and established brand identity. The brands we have built are valuable and hard to replicate. Audiences spend more time consuming our content than that of any other digital media company in our competitive set, according to Comscore. This is why, even amid an uncertain economic environment and increasing competition for audience time and advertising dollars, we continue to be a trusted partner for advertisers looking to reach young audiences at scale with brand-safe content.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Reputation, ethics, and quality matter now more than ever. Advertisers continue to face brand safety risks on the largest social platforms. These platforms have become reliant on user-generated content that is often toxic and / or misleading. As platforms continue to struggle with the policing of user-generated content and the impact to advertisers on their platforms, BuzzFeed has become a trusted partner in providing high-quality, brand-safe content at scale to serve advertiser demand. Our iconic, category-leading brands have loyal, highly engaged audiences — from food lovers to</w:t>
      </w:r>
      <w:r>
        <w:rPr>
          <w:color w:val="000000"/>
          <w:shd w:fill="FFFFFF" w:val="clear"/>
        </w:rPr>
        <w:t xml:space="preserve"> </w:t>
      </w:r>
      <w:r>
        <w:rPr>
          <w:rFonts w:ascii="Times New Roman;sans-serif" w:hAnsi="Times New Roman;sans-serif"/>
          <w:b w:val="false"/>
          <w:color w:val="000000"/>
          <w:sz w:val="20"/>
          <w:shd w:fill="FFFFFF" w:val="clear"/>
        </w:rPr>
        <w:t>shoppers</w:t>
      </w:r>
      <w:r>
        <w:rPr>
          <w:color w:val="000000"/>
        </w:rPr>
        <w:t xml:space="preserve"> </w:t>
      </w:r>
      <w:r>
        <w:rPr>
          <w:rFonts w:ascii="Times New Roman;sans-serif" w:hAnsi="Times New Roman;sans-serif"/>
          <w:b w:val="false"/>
          <w:color w:val="000000"/>
          <w:sz w:val="20"/>
        </w:rPr>
        <w:t>to parents — and everyone in between.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amid the rapidly evolving data privacy landscape, it is becoming increasingly difficult for advertisers to drive returns on the large tech platforms. With a broad and diverse audience and scaled distribution across platforms, we capture rich first party data and third-party platform insights across our audience — offering advertisers the contextual alignment and tools they need to effectively and efficiently reach massive young audiences — particularly as the Internet continues to move toward a cookieless future. By leaning further into AI, we see the opportunity to capture and better understand a much bigger data set around our audience and the performance of our content.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trends reinforce our value proposition. Through our category-leading brand-safe content, proprietary first-party data, and our suite of ad products, we offer advertisers the tools and contextual alignment needed to effectively and efficiently reach large, young audiences without running afoul of emerging data privacy regulations.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years, young people have continued to come to BuzzFeed for culturally relevant content that inspires them to discover new things. We extended this relationship to our commerce business to create trusted shopping content that inspires our audiences to discover new products. This content is led by our editorial team and informed by audience insights, yielding hundreds of millions of dollars in transactions annually on behalf of some of the world’s largest retailers, including Amazon, Target and Walmart. Our approach provides retailers with an incremental channel for capturing high-quality, actionable consumer traffic.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Census Bureau estimates the annual U.S. e-commerce market to be approximately $1.1 trillion, comprising 15% of total retail sales in the fourth quarter of 2023. The U.S. e-commerce market is expected to reach $1.7 trillion by 2027 and comprise 21% of total retail sales, according to eMarketer. The ability of our content to inspire millions of consumers to transact and deliver meaningful results for our retail partners is what sets us apart from other digital publishers. And, as the e-commerce market continues to grow, we see an opportunity to expand and deepen these relationships over time.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Brands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built and assembled a portfolio of iconic, category-leading brands for Gen Z and Millennial audiences across entertainment, news, food, pop culture, and commerce.</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Our flagship </w:t>
      </w:r>
      <w:r>
        <w:rPr>
          <w:rFonts w:ascii="Times New Roman;sans-serif" w:hAnsi="Times New Roman;sans-serif"/>
          <w:b w:val="false"/>
          <w:i/>
          <w:color w:val="000000"/>
          <w:sz w:val="20"/>
        </w:rPr>
        <w:t>BuzzFeed</w:t>
      </w:r>
      <w:r>
        <w:rPr>
          <w:color w:val="000000"/>
        </w:rPr>
        <w:t xml:space="preserve"> </w:t>
      </w:r>
      <w:r>
        <w:rPr>
          <w:rFonts w:ascii="Times New Roman;sans-serif" w:hAnsi="Times New Roman;sans-serif"/>
          <w:b w:val="false"/>
          <w:color w:val="000000"/>
          <w:sz w:val="20"/>
        </w:rPr>
        <w:t>brand has become a go-to authority for curating entertainment, pop culture, and the best of the Internet. With articles, lists, quizzes, videos, and original series — our audience comes to BuzzFeed to learn what to watch, read, and buy now</w:t>
      </w:r>
      <w:r>
        <w:rPr>
          <w:color w:val="000000"/>
          <w:shd w:fill="FFFFFF" w:val="clear"/>
        </w:rPr>
        <w:t xml:space="preserve"> </w:t>
      </w:r>
      <w:r>
        <w:rPr>
          <w:color w:val="000000"/>
        </w:rPr>
        <w:t xml:space="preserve">— </w:t>
      </w:r>
      <w:r>
        <w:rPr>
          <w:rFonts w:ascii="Times New Roman;sans-serif" w:hAnsi="Times New Roman;sans-serif"/>
          <w:b w:val="false"/>
          <w:color w:val="000000"/>
          <w:sz w:val="20"/>
        </w:rPr>
        <w:t xml:space="preserve">and into the future. </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 xml:space="preserve">HuffPost </w:t>
      </w:r>
      <w:r>
        <w:rPr>
          <w:rFonts w:ascii="Times New Roman;sans-serif" w:hAnsi="Times New Roman;sans-serif"/>
          <w:b w:val="false"/>
          <w:color w:val="000000"/>
          <w:sz w:val="20"/>
        </w:rPr>
        <w:t>is a global, award-winning media platform for news, politics, opinion, entertainment, features, and lifestyle content that continues to attract millions of loyal readers directly to its front page.</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Tasty</w:t>
      </w:r>
      <w:r>
        <w:rPr>
          <w:rFonts w:ascii="Times New Roman;sans-serif" w:hAnsi="Times New Roman;sans-serif"/>
          <w:b w:val="false"/>
          <w:color w:val="000000"/>
          <w:sz w:val="20"/>
        </w:rPr>
        <w:t xml:space="preserve">, first launched in 2015, has grown into the largest, most engaged food community on the Internet, pioneering the overhead video format that is now ubiquitous across most major food brands, and is a leading platform for food creators. Eight in 10 audience members try a recipe after seeing it on Tasty. </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First We Feast</w:t>
      </w:r>
      <w:r>
        <w:rPr>
          <w:color w:val="000000"/>
        </w:rPr>
        <w:t xml:space="preserve"> </w:t>
      </w:r>
      <w:r>
        <w:rPr>
          <w:rFonts w:ascii="Times New Roman;sans-serif" w:hAnsi="Times New Roman;sans-serif"/>
          <w:b w:val="false"/>
          <w:color w:val="000000"/>
          <w:sz w:val="20"/>
        </w:rPr>
        <w:t xml:space="preserve">began with creating an award-winning website and has since established its credibility as a voice at the intersection of food and pop culture that has spawned proprietary IP like The Burger Show and Pizza Wars. The most prominent example of this is the hit celebrity interview series Hot Ones, with more than 25 billion minutes watched, multiple Emmy nominations and several consumer product extensions. </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Complex Networks</w:t>
      </w:r>
      <w:r>
        <w:rPr>
          <w:color w:val="000000"/>
        </w:rPr>
        <w:t xml:space="preserve"> </w:t>
      </w:r>
      <w:r>
        <w:rPr>
          <w:rFonts w:ascii="Times New Roman;sans-serif" w:hAnsi="Times New Roman;sans-serif"/>
          <w:b w:val="false"/>
          <w:color w:val="000000"/>
          <w:sz w:val="20"/>
        </w:rPr>
        <w:t xml:space="preserve">is a global youth entertainment company targeting Gen Z and Millennial audiences. We sold Complex Networks in February 2024. The sale of Complex Networks represents a strategic inflection point for us as we plan to focus on scalable, higher margin, technology-enabled revenue lines (e.g., AI). Refer to Notes 22 and 23 to the consolidated financial statements included elsewhere in this Annual Report on Form 10-K for additional details with respect to the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Audience</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Our content reflects the voice of the most diverse generation in history, and creates an “inspiration engine” that helps millions explore new things, try unique experiences, and discover novel products.</w:t>
      </w:r>
      <w:r>
        <w:rPr>
          <w:color w:val="000000"/>
          <w:shd w:fill="FFFFFF" w:val="clear"/>
        </w:rPr>
        <w:t xml:space="preserve"> </w:t>
      </w:r>
      <w:r>
        <w:rPr>
          <w:rFonts w:ascii="Times New Roman;sans-serif" w:hAnsi="Times New Roman;sans-serif"/>
          <w:b w:val="false"/>
          <w:color w:val="000000"/>
          <w:sz w:val="20"/>
          <w:shd w:fill="FFFFFF" w:val="clear"/>
        </w:rPr>
        <w:t>Across our network of brands we reach</w:t>
      </w:r>
      <w:r>
        <w:rPr>
          <w:color w:val="000000"/>
        </w:rPr>
        <w:t xml:space="preserve"> </w:t>
      </w:r>
      <w:r>
        <w:rPr>
          <w:rFonts w:ascii="Times New Roman;sans-serif" w:hAnsi="Times New Roman;sans-serif"/>
          <w:b w:val="false"/>
          <w:color w:val="000000"/>
          <w:sz w:val="20"/>
        </w:rPr>
        <w:t>millions of monthly viewers</w:t>
      </w:r>
      <w:r>
        <w:rPr>
          <w:rFonts w:ascii="Times New Roman;sans-serif" w:hAnsi="Times New Roman;sans-serif"/>
          <w:b w:val="false"/>
          <w:color w:val="000000"/>
          <w:sz w:val="20"/>
          <w:shd w:fill="FFFFFF" w:val="clear"/>
        </w:rPr>
        <w:t>, who consumed more than 300 million hours of content and drove hundreds of millions of dollars in transactions in 2023.</w:t>
      </w:r>
      <w:r>
        <w:rPr>
          <w:color w:val="000000"/>
        </w:rPr>
        <w:t xml:space="preserve"> </w:t>
      </w:r>
      <w:r>
        <w:rPr>
          <w:rFonts w:ascii="Times New Roman;sans-serif" w:hAnsi="Times New Roman;sans-serif"/>
          <w:b w:val="false"/>
          <w:color w:val="000000"/>
          <w:sz w:val="20"/>
        </w:rPr>
        <w:t xml:space="preserve">Our cross-platform distribution network gives us the ability to connect with the Internet generations at a massive scale on whatever platform they are using to consume content. We attract and retain audiences as a function of our data-driven approach to content creation. As audiences engage with our content, we capture insights into their preferences and apply those learnings to new content development. This enables us to attract larger, more engaged audiences and capture deeper, more reliable insights. We are the number one destination for audiences amongst our competitive set, in terms of Time Spent, according to Comscore.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Technology Platform and Data-Driven Content Flywheel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Creating meaningful content requires data, technology, and scale, all of which are key competitive differentiators that BuzzFeed uses to reach our audience wherever they are. Our data-driven approach to content creation is designed to benefit all stakeholders across our ecosystem: audiences, creators, and advertisers alike.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BuzzFeed began as a lab in New York City, experimenting with content, formats, and distribution on the Internet. Over 15 years, we have established a deep understanding of modern media and developed proprietary technology designed to rapidly scale and monetize digital content. Machine learning and analytics power everything from our scaled tech stack of quiz makers built into a content management system to proprietary algorithms and custom tools for content creators and brand advertisers to headline optimization.</w:t>
      </w:r>
    </w:p>
    <w:p>
      <w:pPr>
        <w:pStyle w:val="TextBody"/>
        <w:bidi w:val="0"/>
        <w:spacing w:before="240" w:after="283"/>
        <w:jc w:val="center"/>
        <w:rPr/>
      </w:pPr>
      <w:r>
        <w:rPr/>
        <w:drawing>
          <wp:inline distT="0" distB="0" distL="0" distR="0">
            <wp:extent cx="1838325" cy="20097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838325" cy="2009775"/>
                    </a:xfrm>
                    <a:prstGeom prst="rect">
                      <a:avLst/>
                    </a:prstGeom>
                  </pic:spPr>
                </pic:pic>
              </a:graphicData>
            </a:graphic>
          </wp:inline>
        </w:drawing>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Supported by our highly scalable and repeatable technology platform, our data-driven content flywheel informs our most important decisions. Our content and brands are designed for modern-day consumption patterns, providing engagement behavior data and learnings across the BuzzFeed network. With this distribution strategy driving scale, efficiency, and adaptability, we capture the interests of our audience, inform our content creators and journalists, and help advertisers reach their target audiences, with a commitment to brand-safety.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technology stack is powered by AI and machine learning, and trained on BuzzFeed proprietary data to optimize publishing across our owned and operated and third-party platforms. This enables us to attract larger, more engaged audiences and capture deeper, more reliable insights — delivering high-quality content at massive scale and low cost. In doing so, we are able to capture rich first party data and third-party platform insights that our advertising partners can leverage to more effectively reach their target audiences.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differentiated model for content creation and distribution is designed to serve all stakeholders in our ecosystem.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These proprietary tools and technologies ensure we are serving our audiences compelling, culturally relevant content.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content creators and journalists also benefit greatly, as internal dashboards and metrics provide heightened visibility on audience interaction, allowing them to focus on content and formats that maximize engagement and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Similarly, advertisers rely on our audience insights and first-party data tools to optimize their ad campaigns.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data-driven approach to content creation also offers advertisers an alternative to the risk of advertising alongside user-generated content on the largest social platforms.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Business Model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Powered by our highly scalable data-driven content flywheel, BuzzFeed has grown into a large scale, global media company that distributes content across owned and operated, as well as third-party, platforms. In recent years we have leveraged our media network to develop a comprehensive suite of digital advertising products and services and extend into complementary business lines, such as long-form content development and commerce.</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We measure our success in terms of engagement, monetization, retention, and operating efficiency using four key metrics: (1) audience time spent across owned and operated sites, as well as on third-party platforms; (2) revenue generated from advertising, content and commerce and other; (3) net branded content advertiser revenue retention as an indicator of our ability to retain spend of existing customers from one year to the next; and (4) profitability (</w:t>
      </w:r>
      <w:r>
        <w:rPr>
          <w:rFonts w:ascii="Times New Roman;sans-serif" w:hAnsi="Times New Roman;sans-serif"/>
          <w:b w:val="false"/>
          <w:color w:val="000000"/>
          <w:sz w:val="20"/>
          <w:shd w:fill="FFFFFF" w:val="clear"/>
        </w:rPr>
        <w:t>on an Adjusted EBITDA basis, a non-GAAP financial measure</w:t>
      </w:r>
      <w:r>
        <w:rPr>
          <w:rFonts w:ascii="Times New Roman;sans-serif" w:hAnsi="Times New Roman;sans-serif"/>
          <w:b w:val="false"/>
          <w:color w:val="000000"/>
          <w:sz w:val="20"/>
        </w:rPr>
        <w: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advertising, content, and commerce and other.</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Advertising</w:t>
      </w:r>
      <w:r>
        <w:rPr>
          <w:color w:val="000000"/>
        </w:rPr>
        <w:t xml:space="preserve"> </w:t>
      </w:r>
      <w:r>
        <w:rPr>
          <w:rFonts w:ascii="Times New Roman;sans-serif" w:hAnsi="Times New Roman;sans-serif"/>
          <w:b w:val="false"/>
          <w:color w:val="000000"/>
          <w:sz w:val="20"/>
        </w:rPr>
        <w:t xml:space="preserve">revenues consist primarily of payments we receive from advertisers, both programmatically and directly, for ads distributed against our editorial and news content, including display, pre-roll and mid-roll video products, as well as homepage takeovers. We distribute these ad products across our owned and operated properties as well as third-party platforms. This revenue source is driven by our industry-leading engagement, an overall shift to digital advertising, and our scaled reach to multiple demographics. We provide significant and differentiated value to advertisers by consistently delivering best-in-class audience engagement, with the most Time Spent among audiences as compared to other digital media companies in our competitive set, according to Comscore. </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Content</w:t>
      </w:r>
      <w:r>
        <w:rPr>
          <w:color w:val="000000"/>
        </w:rPr>
        <w:t xml:space="preserve"> </w:t>
      </w:r>
      <w:r>
        <w:rPr>
          <w:rFonts w:ascii="Times New Roman;sans-serif" w:hAnsi="Times New Roman;sans-serif"/>
          <w:b w:val="false"/>
          <w:color w:val="000000"/>
          <w:sz w:val="20"/>
        </w:rPr>
        <w:t>revenues consist primarily of payments received from clients for custom assets, including both long-form and short-form content, from branded quizzes to Instagram takeovers to branded content videos. These revenues also include feature films as well as content licensing. Our content production approach increasingly allows for turn-key, lightweight options that are scalable and repeatable and resonate with advertisers. Our content revenue is driven by continued investment in our content team, a strong data-informed understanding of our audience, demand for trusted, brand-safe digital content, and our brand integrity.</w:t>
      </w:r>
    </w:p>
    <w:p>
      <w:pPr>
        <w:pStyle w:val="TextBody"/>
        <w:bidi w:val="0"/>
        <w:spacing w:lineRule="auto" w:line="288" w:before="240" w:after="283"/>
        <w:ind w:left="0" w:right="0" w:firstLine="360"/>
        <w:jc w:val="both"/>
        <w:rPr/>
      </w:pPr>
      <w:r>
        <w:rPr>
          <w:rFonts w:ascii="Times New Roman;sans-serif" w:hAnsi="Times New Roman;sans-serif"/>
          <w:b w:val="false"/>
          <w:i/>
          <w:color w:val="000000"/>
          <w:sz w:val="20"/>
        </w:rPr>
        <w:t>Commerce and other</w:t>
      </w:r>
      <w:r>
        <w:rPr>
          <w:color w:val="000000"/>
        </w:rPr>
        <w:t xml:space="preserve"> </w:t>
      </w:r>
      <w:r>
        <w:rPr>
          <w:rFonts w:ascii="Times New Roman;sans-serif" w:hAnsi="Times New Roman;sans-serif"/>
          <w:b w:val="false"/>
          <w:color w:val="000000"/>
          <w:sz w:val="20"/>
        </w:rPr>
        <w:t xml:space="preserve">revenues consist primarily of affiliate commissions earned on transactions initiated from our editorial shopping content, as well as revenues from product licensing. </w:t>
      </w:r>
      <w:r>
        <w:rPr>
          <w:rFonts w:ascii="Times New Roman;sans-serif" w:hAnsi="Times New Roman;sans-serif"/>
          <w:b w:val="false"/>
          <w:color w:val="000000"/>
          <w:sz w:val="20"/>
          <w:shd w:fill="FFFFFF" w:val="clear"/>
        </w:rPr>
        <w:t xml:space="preserve">Our editorial shopping content drives hundreds of millions of dollars in attributable transactions each year. </w:t>
      </w:r>
      <w:r>
        <w:rPr>
          <w:rFonts w:ascii="Times New Roman;sans-serif" w:hAnsi="Times New Roman;sans-serif"/>
          <w:b w:val="false"/>
          <w:color w:val="000000"/>
          <w:sz w:val="20"/>
        </w:rPr>
        <w:t>Moving forward, we plan to continue to onboard new marketplaces beyond consumer retail, expanding into new shopping categories to drive additional growth. With strong brand recognition and audience trust, BuzzFeed is well positioned to capitalize on the continued shift to online purchases.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Differentiation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Leading Destination for Audiences </w:t>
      </w:r>
      <w:r>
        <w:rPr>
          <w:color w:val="000000"/>
        </w:rPr>
        <w:t xml:space="preserve">— </w:t>
      </w:r>
      <w:r>
        <w:rPr>
          <w:rFonts w:ascii="Times New Roman;sans-serif" w:hAnsi="Times New Roman;sans-serif"/>
          <w:b w:val="false"/>
          <w:color w:val="000000"/>
          <w:sz w:val="20"/>
        </w:rPr>
        <w:t>Audiences spend more time consuming our content than that of other digital media companies in our competitive set, according to Comscore.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Premium, Brand-Safe Advertising</w:t>
      </w:r>
      <w:r>
        <w:rPr>
          <w:color w:val="000000"/>
        </w:rPr>
        <w:t xml:space="preserve"> — </w:t>
      </w:r>
      <w:r>
        <w:rPr>
          <w:rFonts w:ascii="Times New Roman;sans-serif" w:hAnsi="Times New Roman;sans-serif"/>
          <w:b w:val="false"/>
          <w:color w:val="000000"/>
          <w:sz w:val="20"/>
        </w:rPr>
        <w:t>As platforms continue to struggle with the policing of user-generated content and the impact to advertisers on their platforms, BuzzFeed has become a trusted partner in providing high-quality, brand-safe content at scale to serve advertiser demand. Our iconic, category-leading brands have loyal, highly engaged audiences — from food lovers to shoppers to parents — and everyone in between.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AI-enabled Technology Stack</w:t>
      </w:r>
      <w:r>
        <w:rPr>
          <w:color w:val="000000"/>
        </w:rPr>
        <w:t xml:space="preserve"> — </w:t>
      </w:r>
      <w:r>
        <w:rPr>
          <w:rFonts w:ascii="Times New Roman;sans-serif" w:hAnsi="Times New Roman;sans-serif"/>
          <w:b w:val="false"/>
          <w:color w:val="000000"/>
          <w:sz w:val="20"/>
        </w:rPr>
        <w:t>Our proprietary technology stack is powered by AI and machine learning, and trained on BuzzFeed proprietary data to optimize publishing across our owned and operated and third-party platforms. This enables us to attract larger, more engaged audiences and capture deeper, more reliable insights — delivering high-quality content at massive scale and low cost.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Rich First Party Data </w:t>
      </w:r>
      <w:r>
        <w:rPr>
          <w:color w:val="000000"/>
        </w:rPr>
        <w:t xml:space="preserve">— </w:t>
      </w:r>
      <w:r>
        <w:rPr>
          <w:rFonts w:ascii="Times New Roman;sans-serif" w:hAnsi="Times New Roman;sans-serif"/>
          <w:b w:val="false"/>
          <w:color w:val="000000"/>
          <w:sz w:val="20"/>
        </w:rPr>
        <w:t xml:space="preserve">With a broad and diverse audience and scaled distribution across platforms, we capture rich first party data and third-party platform insights across our audience — offering advertisers the contextual alignment and tools they need to effectively and efficiently reach massive young audiences — particularly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Internet continues to move toward a cookieless future. By leaning further into AI, we see the opportunity to capture and better understand a much bigger data set around our audience and the performance of our content.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Grow and deepen audience engagement — </w:t>
      </w:r>
      <w:r>
        <w:rPr>
          <w:rFonts w:ascii="Times New Roman;sans-serif" w:hAnsi="Times New Roman;sans-serif"/>
          <w:b w:val="false"/>
          <w:color w:val="000000"/>
          <w:sz w:val="20"/>
        </w:rPr>
        <w:t>We plan to continue to leverage our iconic brands and invest in our technology and data-driven content flywheel to deliver engaging content that brands and advertisers trust to reach, grow, and engage audiences, at scale and across platforms. There is a significant opportunity to further penetrate our existing customer base with our diverse offerings, as well as to add new customers through our proven ability to reach audiences at scale and drive awareness, inspiration, and transactions. Representing more than 85% of audience Time Spent for the year ended December 31, 2023, our owned and operated properties are an area of focus, including through the use of AI to make our owned and operated properties more engaging, personalized, and efficient to operate.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Empower our content creator teams — </w:t>
      </w:r>
      <w:r>
        <w:rPr>
          <w:rFonts w:ascii="Times New Roman;sans-serif" w:hAnsi="Times New Roman;sans-serif"/>
          <w:b w:val="false"/>
          <w:color w:val="000000"/>
          <w:sz w:val="20"/>
        </w:rPr>
        <w:t>We are extremely fortunate to have many talented journalists, video creators, writers, and Internet visionaries, whose contributions are critical to our success. BuzzFeed will continue to focus on building the future of creative work by empowering our teams, providing them with next-generation tools, data, and an environment that fosters collaboration, diversity, and innovation to produce best-in-class digital content.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Expand strategic partnerships — </w:t>
      </w:r>
      <w:r>
        <w:rPr>
          <w:rFonts w:ascii="Times New Roman;sans-serif" w:hAnsi="Times New Roman;sans-serif"/>
          <w:b w:val="false"/>
          <w:color w:val="000000"/>
          <w:sz w:val="20"/>
        </w:rPr>
        <w:t>Our diversified and complementary advertising, content, and commerce offerings enhance our value proposition and strengthen our relationships with our customers. In particular, partners who purchase several of our solutions often increase their average spend with BuzzFeed, which drives longer term relationships and improves customer retention.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Drive sustainable, profitable growth — </w:t>
      </w:r>
      <w:r>
        <w:rPr>
          <w:rFonts w:ascii="Times New Roman;sans-serif" w:hAnsi="Times New Roman;sans-serif"/>
          <w:b w:val="false"/>
          <w:color w:val="000000"/>
          <w:sz w:val="20"/>
        </w:rPr>
        <w:t xml:space="preserve">Following several years of discipline and cost management initiatives, our business is benefiting from significant operating leverage. As we prioritize resources towards the highest margin businesses, we are committed to building a business that delivers significant margin expansion and generates strong cash flows.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BuzzFeed operates within the digital media space, a category that we have pioneered and helped develop. We broadly compete against other Internet companies that might attract audiences and advertisers to their platforms and away from BuzzFeed’s. More specifically, with a common core demographic of Millennials and Gen Z, online content providers that target younger generations are natural competitors to BuzzFeed. Historically, these have included digital publishers such as Vox Media (which combined with Group Nine Media), Bustle Digital Group, Dotdash Meredith, and Condé Nast. Additionally, our entertainment competitors include, but are not limited to, People and Entertainment Weekly, and our food brand competitors include, but are not limited to, New York Times Cooking and Food Network. We believe that engagement, and specifically Time Spent, is a key indicator of competitive positioning, and BuzzFeed Inc. outperforms its peers by this measure, with audiences spending more time with our content than that of any other company in our competitive set, according to Comscore. Furthermore, we believe that audience leadership, brand safety, our AI-powered tech stack, and rich first party data are structural differentiators that set us apart from the competition.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BuzzFeed both competes with and partners with the largest social media platforms, streaming services, retailers, and traditional publishers. We believe that BuzzFeed’s unique, data-informed, brand-safe content is increasingly valued by ecosystem participants and enables BuzzFeed to grow alongside the largest consumer Internet and publishing businesses.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BuzzFeed offers a strong value proposition to customers and business partners looking to reach Millennial and Gen Z audiences at scale, in order to generate awareness and drive discovery, inspiration, and ultimately transactions involving their products and services. Customers rely on our high-quality, engaging and brand-safe content, creativity, and audience insights to accomplish these objectives. Our customer base consists of U.S.-based and global corporations, including several Fortune 500 companies, across a variety of industries including, among others, media and entertainment, consumer packaged goods, and retail, financial services, insurance, and technology, who utilize one or more of our offerings in advertising, content, and commerce and other.</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our advertising customers with a broad array of offerings including display, programmatic, and video advertising inventory to target users on our owned and operated sites, applications, and third-party platforms. Our content customers include third-parties seeking to promote their businesses, products and services with our content (for example, we can create customized promotional content for a third-party’s film release). Our commerce customers are e-commerce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pPr>
      <w:r>
        <w:rPr>
          <w:rFonts w:ascii="Times New Roman;sans-serif" w:hAnsi="Times New Roman;sans-serif"/>
          <w:b w:val="false"/>
          <w:color w:val="000000"/>
          <w:sz w:val="20"/>
        </w:rPr>
        <w:t>operators who partner with us through affiliate programs, or retailers with whom we enter into licensing and merchandising agreements. Customers can achieve the best results when tapping into a combination of our offerings, and we see increased retention from those customers that do so. We maintain a diverse customer base and do not have a significant concentration of revenue around any particular customers, with our top 10 direct customers making up</w:t>
      </w:r>
      <w:r>
        <w:rPr>
          <w:color w:val="000000"/>
          <w:shd w:fill="FFFFFF" w:val="clear"/>
        </w:rPr>
        <w:t xml:space="preserve"> </w:t>
      </w:r>
      <w:r>
        <w:rPr>
          <w:rFonts w:ascii="Times New Roman;sans-serif" w:hAnsi="Times New Roman;sans-serif"/>
          <w:b w:val="false"/>
          <w:color w:val="000000"/>
          <w:sz w:val="20"/>
          <w:shd w:fill="FFFFFF" w:val="clear"/>
        </w:rPr>
        <w:t xml:space="preserve">approximately </w:t>
      </w:r>
      <w:r>
        <w:rPr>
          <w:rFonts w:ascii="Times New Roman;sans-serif" w:hAnsi="Times New Roman;sans-serif"/>
          <w:b w:val="false"/>
          <w:color w:val="000000"/>
          <w:sz w:val="20"/>
        </w:rPr>
        <w:t>13%</w:t>
      </w:r>
      <w:r>
        <w:rPr>
          <w:color w:val="000000"/>
          <w:shd w:fill="FFFFFF" w:val="clear"/>
        </w:rPr>
        <w:t xml:space="preserve"> </w:t>
      </w:r>
      <w:r>
        <w:rPr>
          <w:rFonts w:ascii="Times New Roman;sans-serif" w:hAnsi="Times New Roman;sans-serif"/>
          <w:b w:val="false"/>
          <w:color w:val="000000"/>
          <w:sz w:val="20"/>
        </w:rPr>
        <w:t>of total revenue for the year ended December 31, 2023. In addition to these top 10 direct customers, we derive a significant portion of our revenue from companies such as Google, Facebook, and Amazon through their various advertising and affiliate exchanges.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Our Employees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management of our global talent to be essential to the ongoing success of our business. As of December 31, 2023, we had 925 employees located across seven countries. As of December 31, 2023, approximately 10.5% of our employees were unionized, with certain employees associated with BuzzFeed Canada, Inc. in Canada belonging to the Canadian Media Guild, and certain employees associated with HuffPost in the U.S. belonging to the Writers Guild of America, East.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we completed our sale of certain assets relating to the business of Complex Networks and we also announced plans to reduce expenses by implementing an approximately 16% reduction in our then-current workforce. Following the execution of these combined actions, the Company has 735 employees as of March 27, 2024. An additional 33 employees will transfer to Independent Digital News and Media Limited on April 1, 2024. Moreover, an additional 60 employees were impacted by the aforementioned reduction in workforce; however, they will remain on our payroll until April 29, 2024. Refer to Note 23 to our consolidated financial statements elsewhere in this Annual Report on Form 10-K for additional details.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supporting our employees across the full employee lifecycle from recruitment to onboarding through ongoing development, and have implemented programs designed to support both career satisfaction and overall wellness. We offer access to a range of wellness services addressing mental health, family support, child care, and other areas.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Our Culture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BuzzFeed, we value openness and collaboration, experimentation and growth, and diversity and equality. This is demonstrated through our content, as well as in the way we work together within the company. We aspire to provide outstanding people experiences, through our workplace practices, benefits, employee programs, communication, and diversity.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believe in having a direct relationship between employees and management where ideas are shared and both work together toward a common purpose.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believe in the principle of equal pay for equal work and having compensation programs that provide for such equality.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believe in treating each other respectfully and employing principles of fairness when concerns or problems arise.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committed to demonstrating diversity of thought, background, and experience across all functions and levels.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believe in supporting the wellness of our employees and their dependents, in championing progressive changes where needed and adjusting our policies to address the changing needs of employees.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believe that people should be able to bring their whole self to work, and feel that the workplace is supportive and inclusive.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Diversity, Inclusion, and Belonging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BuzzFeed, we value Diversity, Inclusion &amp; Belonging (“DI&amp;B”) and strive to weave this value into everything we do. We attract a diverse group of employees that reflect the world we are trying to reach through our content and we welcome the unique skills, experiences, and backgrounds each employee brings to the table every day. Since 2014,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been committed to holding ourselves accountable to this work by publishing our diversity and demographics report annually. As of December 31, 2023, Black, Indigenous and People of Color (“BIPOC”) employees constituted 38% of our U.S.-based employee population. In addition, 61% of our global population identify as female.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refine our approach to hiring, training, career development, and education to support our mission of DI&amp;B. Our recruiting team continues to be intentional about our diversity strategy to ensure that BIPOC talent and candidates from other underrepresented groups are actively recruited, and that the company hires and retains talent with diverse perspectives and backgrounds. In the recruitment and hiring process, we also emphasize educating all team members involved about internal and unconscious biases and how to overcome them, and ensuring that all job descriptions and interview processes are inclusive and accessible. BuzzFeed is committed to increasing the representation of diverse employees and we have concentrated our efforts to both advance and retain current BIPOC and additional diverse employees.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ensuring our culture allows employees to bring their authentic selves to work every day. We want all employees to feel safe and supported, without threat of microaggressions or bias.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continued to develop and launch key educational opportunities, including Identity and Allyship training, and host a myriad of Heritage Month educational events, learning opportunities, and social events sponsored by the DI&amp;B team, BuzzFeed employee resource groups, and the DI&amp;B Council.</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We depend on our iconic brands to build and maintain household name recognition and audience loyalty, and regard our intellectual property as critical to our success. We own numerous domestic and foreign trademarks and other proprietary rights that are important to our business and protect those rights in our brands including, but not limited to, </w:t>
      </w:r>
      <w:r>
        <w:rPr>
          <w:rFonts w:ascii="Times New Roman;sans-serif" w:hAnsi="Times New Roman;sans-serif"/>
          <w:b w:val="false"/>
          <w:i/>
          <w:color w:val="000000"/>
          <w:sz w:val="20"/>
        </w:rPr>
        <w:t xml:space="preserve">BuzzFeed, HuffPost, Tasty, and First We Feast. </w:t>
      </w:r>
      <w:r>
        <w:rPr>
          <w:rFonts w:ascii="Times New Roman;sans-serif" w:hAnsi="Times New Roman;sans-serif"/>
          <w:b w:val="false"/>
          <w:color w:val="000000"/>
          <w:sz w:val="20"/>
        </w:rPr>
        <w:t>We also maintain rights to the domain names www.buzzfeed.com, www.huffpost.com, www.tasty.co, www.firstwefeast.com, among others. We retain the rights to an extensive content library that is monetized through multiple revenue streams. In addition to our brand, domain, and content assets, we have a proprietary technology platform that powers our business. We rely on, and expect to continue to rely on, a combination of work for hire, assignment, license and confidentiality agreements with our employees, consultants and third parties with whom we have relationships, as well as trademark, trade dress, domain name, copyright, trade secret and patent laws, to protect our brands, content, proprietary technology, and other intellectual property rights.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excluding COMPLEX marks, we held 123 registered trademarks in the U.S., including the BUZZFEED mark and the HUFFPOST mark, and also held 427 registered trademarks in foreign jurisdictions. We continually review our development efforts to assess the existence and our ability to register new intellectual property, and whether to decommission certain of our intellectual property assets. We intend to continue to file additional applications with respect to our intellectual property assets.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many laws and regulations in the U.S., Canada, the European Union (the “EU”), the United Kingdom (the “U.K.”), Japan, Australia, India, and Mexico and throughout the world, including, but not limited to, those related to contracts, securities, privacy, data protection, content regulation, intellectual property, consumer protection, e-commerce, marketing, advertising, messaging, rights of publicity, libel and defamation, health and safety, employment and labor, bribery and corruption, economic and trade sanctions, product liability, accessibility, competition, and taxation. These laws and regulations are constantly evolving and may be interpreted, applied, created, or amended in a manner that could harm or require us to change our current or future business and operations. In addition, it is possible that certain governments may seek to block or limit use or distribution of our products and services or otherwise impose other restrictions that may affect access to or operation of any or all of our products and services for an extended period of time or indefinitely.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Data Privacy and Security Laws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federal, state and international laws, policies, and regulations relating to the privacy and security of personal data, including personal data of consumers, customers, and employees. These laws often require companies to implement specific information security controls to protect certain types of data (such as personal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color w:val="000000"/>
        </w:rPr>
      </w:pPr>
      <w:r>
        <w:rPr>
          <w:color w:val="000000"/>
        </w:rPr>
        <w:t>“</w:t>
      </w:r>
      <w:r>
        <w:rPr>
          <w:rFonts w:ascii="Times New Roman;sans-serif" w:hAnsi="Times New Roman;sans-serif"/>
          <w:b w:val="false"/>
          <w:color w:val="000000"/>
          <w:sz w:val="20"/>
        </w:rPr>
        <w:t>special categories of personal data” or employee data), and / or impose specific requirements relating to the collection or other processing of such data.</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 Federal Trade Commission (the “FTC”), the Department of Commerce, and various states continue to call for greater regulation of the collection and processing of personal data, as well as restrictions for certain targeted advertising practices. Section 5(a) of the FTC Act grants the agency enforcement powers to combat and address “unfair or deceptive acts or practices in or affecting commerce,” and the FTC has used this authority extensively to hold businesses to fair and transparent privacy and security standards. Numerous states have also enacted, or are proposing legislation to enact, state-level data privacy laws and regulations governing the collection, use, disclosure, and other processing of personal data. For example, the California Consumer Privacy Act, as amended by the California Privacy Rights Act (the “CCPA”) provides specific privacy rights to consumers residing in the state and imposes a range of compliance obligations on covered businesses. Compliance with the CCPA has caused, and will continue to cause, BuzzFeed to incur compliance related costs and expenses. Additionally, a number of other states have adopted or are considering similar legislation. Future changes in laws and regulations throughout the U.S., at both the federal and state levels, could impact our ability to collect data, exploit the data we do collect, limit the extent to which we can monetize that data, give rise to additional compliance costs, require us to make substantial investments in technology tools to satisfy new regulatory rules, and expose us to potential non-compliance liability. We are also subject to the Americans with Disabilities Act, which includes requirements with respect to website accessibility. Additionally, we are subject to the CAN-SPAM Act, the Telephone Consumer Protection Act, and the Video Privacy Protection Act, each of which may place restrictions on how we operate in a manner that adversely affects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EU, the General Data Protection Regulation (the “GDPR”) imposes stringent operational requirements for processors and controllers of personal data, including with respect to data subject rights, notices and disclosures to data subjects about how personal data is processed (including information about the profiling of individuals and automated individual decision-making), records of processing activities, limiting retention of personal data, mandatory data breach notification to data protection regulators or supervisory authorities (and in certain cases, to the affected individuals), and requirements to implement additional policies and procedures to comply with the accountability principle under the GDPR. The GDPR is intended to create a single legal framework in relation to the collection, control, use, sharing, disclosure, and other processing of personal data. However, the GDPR allows for derogations where EU member states can deviate from the requirements in their own legislation, including for example, by introducing measures that apply in specific situations and implementing rules regarding legal basis of processing. It is therefore likely that, where we operate or provide services in those EU member state jurisdictions, we will need to comply with these local regulations in addition to the GDPR. Local supervisory authorities are able to impose fines for non-compliance and have the power to carry out audits, require companies to cease or change processing, request information, and obtain access to premises.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Similarly, many other countries around the world have developed laws, rules, and regulations regarding privacy and data protection, including, for example, the U.K., Canada, Japan, Australia, India, and Mexico. Additional countries are developing or expanding privacy and data security laws, rules, and regulations, or may do so in the future, which could increase our risk and compliance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Countries around the world also have developed or are developing laws, rules, and regulations regarding cross-border transfers of personal data. This includes laws relating to the transfer of personal data outside the European Economic Area (the “EEA”) and the U.K. Recent legal developments in the EEA and the U.K. have created complexity and uncertainty regarding transfers of personal data from the EEA and the U.K. to “third countries,” especially the U.S. For example, in 2020, the Court of Justice of the EU (the “CJEU”) invalidated the EU-U.S. Privacy Shield Framework (a mechanism for the transfer of personal data from the EEA to the U.S.). The CJEU also made clear that reliance on standard contractual clauses (another mechanism for the transfer of personal data outside the EEA) alone may not be sufficient in all circumstances. We currently rely on standard contractual clauses and these changes are therefore causing us to review our current compliance approach. Changes to our compliance scheme may be deemed necessary to meet the requirements of the EEA, the U.K., and other jurisdictions may result in additional costs or the inability to transfer personal data out of certain countries.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evolving privacy laws on cookies and e-marketing. In the EU and the U.K., regulators are increasingly focusing on compliance with requirements in the online behavioral advertising ecosystem and current national laws that implement the EU directive known as the Privacy and Electronic Communications Directive 2002/58/EC on Privacy and Electronic Communications (the ePrivacy Directive) are expected to be replaced by a forthcoming EU regulation known as the e-Privacy Regulation, which will significantly increase fines for non-compliance. Informed consent is generally required for the placement of a cookie or similar technologies on a user’s device and for direct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electronic marketing. The GDPR also imposes conditions on obtaining valid consent, such as a prohibition on pre-checked consents and a requirement to ensure separate consents are sought for each type of cookie or similar technology. The text of the e-Privacy Regulation is still under development, and recent EU regulatory guidance and court decisions have created uncertainty about the level to which such laws and regulations will be enforced, which may require us to review our compliance approach and increase compliance costs.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some seasonal influences. Historically, our revenue is typically highest in the fourth quarter of the year due to strong advertising spend and consumer spending during this quarter.</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file electronically with the SEC our Annual Reports on Form 10-K, Quarterly Reports on Form 10-Q, Current Reports on Form 8-K, and amendments to reports filed or furnished pursuant to Section 13(a) or 15(d) of the Exchange Act. The SEC maintains a website at www.sec.gov that contains reports, proxy and information statements and other information that we file with the SEC electronically. We will make available on our investor relations website at https://investors.buzzfeed.com, free of charge, copies of these reports and other information as soon as reasonably practicable after we electronically file such material with, or furnish it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We have identified the following risks and uncertainties that may have a material adverse effect on our business, financial condition, results of operations or reputation. These risks are not presented in order of importance or probability of occurrence. Further, the risks described below are not the only risks we face. Additional risks not presently known to us or that we currently believe are not material may also significantly affect our business, financial condition, results of operations or reputation. Our business could be harmed by any of these risks. In assessing these risks, you should also refer to the other information contained in this Annual Report on Form 10-K, including Part II, Item 7“Management’s Discussion and Analysis of Financial Condition and Results of Operations” and our consolidated financial statements and related notes.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summary highlights some of the risks we are exposed to in the normal course of our business activities. This summary is not exhaustive and the risks summarized below are not the only risks we face.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revenue and results of operations are highly dependent on overall advertising demand in the markets in which we operate.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We derive a significant portion of our revenue from advertising products and our relationships with our advertising partners.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If we are unable to compete effectively with our competitors for traffic and advertising spend, our business and operating results could be harmed.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market for digital advertising for brands is evolving. If this market develops more slowly or differently than we expect, our business, growth prospects, and financial condition could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Adverse economic conditions in the U.S. and globally, including the potential onset of recession, could have a negative effect on our business, results of operations, financial condition, and liquidity.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levels of our traffic and engagement with our brands and content are critical to our success.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Changes to our existing content and services could fail to attract traffic and advertisers or fail to generate revenue.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We may not have sufficient cash flow from our business to fund conversions of our unsecured convertible notes in cash, or repay the notes at maturity or repurchase them upon a fundamental change, which could have an adverse effect on our financial condition. We cannot provide any assurances that we will be able to fund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operations the necessary amount of capital to repay these obligations. As a result, there is substantial doubt about our ability to continue as a going concern.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Declines in referrals from third-party platforms and Internet search engines, whether because of a decline in the popularity of these platforms, changes in user behavior, changes in search engine algorithms, changes to the standard terms, conditions or policies of these platform providers, or otherwise, could cause our revenue to decline.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We have incurred operating losses in the past, may incur operating losses in the future, and may not achieve or maintain profitability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Acquisitions, dispositions, joint ventures, strategic partnerships and strategic investments could disrupt our business and harm our financial condition and operating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development and implementation of AI solutions may not be successful, which may impair our ability to compete effectively, result in reputational harm and have a material adverse impact on our operating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We may not realize the expected financial and operational benefits of our recently announced restructuring plan, and its implementation may negatively impact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loss of key personnel, or our failure to attract and retain other highly qualified personnel in the future, could harm our business.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Financial and Accounting Matters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We previously identified material weaknesses in our internal control over financial reporting that continue to exist. Failure to remediate the material weaknesses in a timely manner or maintain effective internal control over financial reporting may adversely impact our ability to produce timely and accurate financial statements or comply with applicable laws and regulations.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We </w:t>
      </w:r>
      <w:r>
        <w:rPr>
          <w:rFonts w:ascii="Times New Roman;sans-serif" w:hAnsi="Times New Roman;sans-serif"/>
          <w:b w:val="false"/>
          <w:i/>
          <w:color w:val="000000"/>
          <w:sz w:val="20"/>
          <w:shd w:fill="FFFFFF" w:val="clear"/>
        </w:rPr>
        <w:t>have recorded significant impairment charges and could do so again in the future</w:t>
      </w:r>
      <w:r>
        <w:rPr>
          <w:rFonts w:ascii="Times New Roman;sans-serif" w:hAnsi="Times New Roman;sans-serif"/>
          <w:b w:val="false"/>
          <w:i/>
          <w:color w:val="000000"/>
          <w:sz w:val="20"/>
        </w:rPr>
        <w: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We may require additional capital to support our operations, and we cannot be certain that this capital will be available on reasonable terms when required, or at all.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We may not have the ability to raise the funds necessary to settle conversions of our unsecured convertible notes, repurchase the notes upon a fundamental change such as the delisting of our Class A common stock, or repay the notes in cash at their maturity.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Restrictions imposed by the indenture governing the Notes could adversely affect our operating flexibility.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notes may impact our financial results, result in the dilution of our stockholders, or create downward pressure on the price of our Class A common stock.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Securities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We may issue additional shares of Class A common stock (including upon the exercise of warrants or via our at-the-market offering) which would increase the number of shares eligible for future resale in the public market and result in dilution to our stockholders.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We may redeem unexpired warrants prior to their exercise at a time that is disadvantageous to the holder, thereby making the warrants worthless.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There can be no assurance that the warrants will be in the money at the time they become exercisable, and they may expire worthless.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market price of our securities may be volatile, which may increase the risk of securities-related litigation, or cause the loss of part or all of holders’ investments.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multi-class structure of our common stock has the effect of concentrating voting power with our chief executive officer, which limits other stockholders’ ability to influence the outcome of shareholder votes, including but not limited to important transactions that might involve a change in control.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continued decline in the coverage of our securities by analysts or reports published by the analysts who do cover us, including projections in those reports that differ from our actual results, could adversely affect the price and trading volume of our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shd w:fill="FFFFFF" w:val="clear"/>
        </w:rPr>
        <w:t xml:space="preserve">If we fail to comply with the continued listing requirements of Nasdaq, our common stock may be delisted and the price of our common stock and our ability to access the capital markets could be negatively impacted and we may be required to purchase our unsecured convertible notes.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If our existing shareholders sell, or indicate an intent to sell, amounts of our Class A common stock in the public market, the trading price of our ordinary shares could decline.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Complex and evolving U.S. and foreign laws and regulations apply to our business. These laws and regulations are subject to change and uncertain interpretation, and could result in claims, required changes to our business practices, monetary penalties or judgments, temporary or permanent restraining orders and injunctions, increased cost of operations, declines in traffic growth and engagement with our brands and content, or otherwise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Our intellectual property rights are valuable, and any inability to protect, or challenges to, them could reduce the value of our content, services, and brand.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Compliance obligations under the Sarbanes-Oxley Act of 2002 (the “Sarbanes-Oxley Act”) may consume substantial financial and management resources.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Some of our employees are unionized, and our business and results of operations could be adversely affected if labor agreements were to further restrict our ability to maximize the efficiency of our operations.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revenue and results of operations are highly dependent on overall advertising demand in the markets in which we operate. Factors that affect the amount of advertising spending, such as economic downturns and unexpected events can make it difficult to predict our revenue and could otherwise adversely affect our business, results of operations, and financial condition.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the overall demand for advertising in the markets in which we operate and on the business condition of our current and prospective partners and advertisers. Macroeconomic factors in the U.S. and foreign markets, including adverse economic conditions, general uncertainty about economic recovery or growth, elevated interest rates, high unemployment, and rising inflation, could cause advertisers to reduce their advertising budgets. These macroeconomic factors have adversely affected our advertising and content revenues in 2023 and we expect these factors will continue to adversely impact our revenue in 2024. Additionally, because of these pressures, certain advertisers may not have the budget for marketing expenditures. Our business may also be negatively impacted by geopolitical concerns, which may result in conservative approaches by advertisers when allocating budgets and ad inventory. Reductions in overall advertising spending as a result of these factors, which are out of our control, or due to the occurrence of unanticipated events could result in a decrease in our revenue and potential profit or make it difficult to predict our future performance, any of which could adversely affect our business, results of operations, and financial condition.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derive a significant portion of our revenue from advertising products and our relationships with our advertising partners.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Online advertising is an intensely competitive industry. A significant portion of our revenue is currently generated from our relationships with third-party advertisers, none of which have long-term commitments to us. Many of our advertisers spend only a relatively small portion of their overall advertising budget with us. In addition, many of our advertisers purchase our advertising services through one of several large advertising agency holding companies. Advertisers will not continue to do business with us, or they will reduce the prices they are willing to pay to advertise with us, if we do not deliver ads in an effective manner, or if they do not believe that their investment in advertising with us will generate a competitive return relative to alternatives.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advertising revenue could be adversely affected by a number of other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decreases in traffic to, or engagement (including Time Spent) with, our brands and content;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macroeconomic conditions and conditions in the advertising industry in general;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new technologies or formats that could block or obscure the display of or targeting of our content;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loss of advertising market share to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inability to increase advertiser demand and / or inventory;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inability to demonstrate the value of our content to advertisers and advertising agencies or inability to measure the value of our content in a manner which advertisers and advertising agencies find useful;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cancellation of certain pre-paid branded advertising orders;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inability to help advertisers effectively target ads;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decreases in the cost per ad engagement;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way our ad products are priced;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inability to generate income on third-party platforms because of an absence of ad placement tools and the general monetization immaturity of certain third-party platforms;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changes to ad placement capabilities on third-party platforms;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inability to improve our analytics and measurement solutions that demonstrate the value of our content;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bad debts related to trade credit extended to certain advertisers;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entry into revenue sharing arrangements or other partnerships with third parties;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adverse legal developments relating to advertising or measurement tools related to the effectiveness of advertising, including legislative and regulatory developments impacting branded content, labeling of advertising, privacy and consent requirements related to sharing of personal data, and / or litigation related to any of the foregoing;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adverse media reports or other negative publicity involving us or the digital media industry as a whole.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relationship with any advertising partner terminates for any reason, or if our relationship with any of these partners are renewed on less favorable terms, our revenue could be adversely impacted.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compete effectively with our competitors for traffic and advertising spend, our business and operating results could be harmed.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for traffic to, and engagement with, our content, products and services is intense. We compete against many companies to attract and engage traffic, including companies that have greater financial resources and larger user bases, and companies that offer a variety of Internet and mobile device-based content, products and services. As a result, our competitors may acquire and engage traffic at the expense of the growth or engagement of our traffic, which would negatively affect our business. We believe that our ability to compete effectively for traffic depends upon many factors both within and beyond our control,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popularity, usefulness, and reliability of our content compared to that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and market acceptance of our content;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continued expansion and adoption of our content;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and the ability of our competitors, to develop new content and enhancements to existing content;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and the ability of our competitors, to attract, develop, and retain influencers and creative talent;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ability, and the ability of our competitors, to develop measures for traffic, time spent and content engagement on emerging platforms, particularly platforms where no effective measurement tools currently exist;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frequency, relative prominence and appeal of the advertising displayed by us or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mandated by, or that we elect to make to address, legislation, regulatory constraints or litigation, including settlements and consent decrees, some of which may have a disproportionate impact on us;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attract, retain and motivate talented employees;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costs of developing and procuring new content, relative to those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acquisitions or consolidation within our industry, which may result in more formidable competitors;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reputation and brand strength relative to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significant competition for advertiser spending. We compete against online and mobile businesses and traditional media outlets, such as television, radio and print, for advertising budgets. In determining whether to buy advertising, our advertisers will consider the demand for our content, demographics of our traffic, advertising rates, results observed by advertisers, and alternative advertising options. The increasing number of digital media options available, through social networking tools and news aggregation websites, has expanded consumer choice significantly, resulting in traffic fragmentation and increased competition for advertising. In addition, some of our larger competitors have substantially broader content, product or service offerings and leverage their relationships based on other products or services to gain additional share of advertising budgets. We will need to continue to innovate and improve the monetization capabilities of our websites and our mobile products in order to remain competitive. We believe that our ability to compete effectively for advertiser spending depends upon many factors both within and beyond our control,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size and composition of our user base relative to those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ad targeting capabilities, and those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and the ability of our competitors, to adapt our model to the increasing power and significance of influencers to the advertising community;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and market acceptance of our advertising content and advertising products, and those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marketing and selling efforts, and those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pricing for our advertising products and services relative to those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return our advertisers receive from our advertising products and services, and those of our competitors;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reputation and the strength of our brand relative to our competitors.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the market for digital advertising develops more slowly or differently than we expect, our business, growth prospects, and financial condition could be adversely affected.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expected performance is tied to assumptions about the behavior of the digital advertising marketplace. Technology in the media industry continues to evolve rapidly. Advances in technology have led to an increased number of methods for the delivery and consumption of news and other content. These developments are also driving changes in the preferences and expectations of consumers as they seek more control over how they consume content. Changes in technology and consumer behavior pose a number of challenges that could adversely affect our revenues and competitive position. For example, among others: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be unable to develop new online or digital content and services that consumers find engaging, that work with a variety of operating systems and networks and that achieve a high level of market acceptance;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as third-party platforms introduce new content formats and those formats gain popularity with audiences, this may lead to limitations on monetization of our content across these platforms, the loss of control over distribution of our content and of a direct relationship with our audience, and lower audience engagement;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introduce new content or services, or make changes to existing content and services, that are not favorably received by consumers;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not be able to adapt quickly enough to the increasing use and importance of AI tools in our industry and by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there may be changes in sentiment of our traffic about the quality, usefulness or relevance of our existing content or concerns related to privacy, security or other factors;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to successfully manage changes implemented by social media platforms, search engines, news aggregators or mobile application stores and device manufacturers, including those affecting how our content and applications are prioritized, displayed and monetized, could affect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consumers may increasingly use technology (such as incognito browsing) that decreases our ability to obtain a complete view of the behavior of traffic that engages with our content;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be unable to maintain or update our technology infrastructure in a way that meets market and consumer demands.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direct significant resources to mitigate these potential risks and to create content, and to build, maintain, and evolve our owned and operated properties. This allocation of resources may not achieve the desired results and thus we may not avoid an adverse impact from the outlined risks on our operating results in the near term. In addition, there can be no assurance as to our ability to use new and existing technologies to distinguish our content and services from those of our competitors or to develop in a timely manner compelling new content and services that engage traffic across platforms. If the market for digital advertising deteriorates; develops more slowly than we expect; ceases to shift from traditional advertising methods to digital advertising; experiences a reduction in demand caused by weakening economic conditions, decreases in corporate spending, or a perception that digital advertising is less effective than other media or otherwise, it could reduce demand for our offerings, which could decrease revenue or otherwise adversely affect our business. Further, if we are not successful in responding to changes in technology and consumer behavior, our business, financial condition and prospects may be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Adverse economic conditions in the U.S. and globally, including the potential onset of recession, could have a negative effect on our business, results of operations, financial condition, and liquidity.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Adverse macroeconomic conditions in the U.S. and globally could negatively impact our business, financial condition, results of operations, and liquidity. These macroeconomic factors include: inflation; current global supply chain disruptions; slower than expected growth or recession; changes to fiscal and monetary policy; any failure to raise the U.S. debt ceiling or to fund the federal government, leading to a shutdown; tightening of the credit markets; including as a result of bank failures and any resulting issues in the broader U.S. financial system; any higher interest rates; high unemployment; currency fluctuations; and the competitive labor market. These, and other, factors could adversely affect demand for advertising on our owned and operated sites and social media platforms or revenue generated from creating content, weakening our advertising sales and related revenue streams. Adverse economic conditions in the U.S. and globally have from time to time caused or exacerbated significant slowdowns in our industry and in the markets in which we operate, which have adversely affected our business and results of operations. Macroeconomic weakness and uncertainty also make it more difficult for us to accurately forecast revenue, gross margin and expenses, and may make it more difficult to raise or refinance debt.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sustained uncertainty about, or worsening of, current global economic conditions, including the ongoing conflicts between Russia and Ukraine and between Israel and Hamas and any related sanctions and geopolitical tensions, and further escalation of trade tensions between the U.S. and China, could result in a global economic slowdown and long-term changes to global trade. Any or all of these factors could adversely affect our advertising revenue, content revenue, and affiliate commerce revenue, and could materially adversely affect our business, results of operations, financial condition, and growth.</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levels of our traffic to, and engagement with, our brands and content are critical to our success.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increase our traffic, or if traffic engagement, including Time Spent, or ad engagement declines, our revenue, business, and operating results may be harmed. Our revenue and overall financial performance has been, and will continue to be, significantly determined by our success in increasing traffic and the overall level of traffic engagement with our content, including Time Spent, as well as increasing the number and quality of ad engagements. We anticipate that our traffic growth rate will slow over time as the level of our traffic increases. To the extent our traffic growth rate slows, our success will become increasingly dependent on our ability to increase levels of ad engagement on our platforms. If people do not perceive our content to be useful, reliable and entertaining, we may not be able to attract traffic or increase the frequency of engagement, and Time Spent, on our websites and applications and with the ads that we display. There is no guarantee that we will not experience a similar erosion of our engagement levels, including Time Spent, as our traffic growth rate slows.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maintaining and enhancing our brands is an important aspect of our efforts to attract and expand our traffic. Much of our new traffic is referred to us by our existing traffic. Maintaining and enhancing our brands will depend largely on our ability to continue to provide high-quality, entertaining, useful, reliable, relevant, and innovative content, which we may not do successfully. We may introduce new content, products or terms of service or policies that our traffic, partners or advertisers do not like, which may negatively affect our brand. We will also continue to experience media, legislative, and regulatory scrutiny of our content, which may adversely affect our reputation and brands. Maintaining and enhancing our brands may require us to make substantial investments and these investments may not be successful. A number of additional factors could potentially negatively affect our traffic growth and engagement, including Time Spent, including if:</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traffic engages with other platforms or content as an alternative to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unable to convince potential new traffic of the value, usefulness, and relevance of our content;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there is a decrease in the perceived quality and relevance of our content;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fail to introduce new and improved content or services or if we introduce new or improved content or services that are not favorably received or that negatively affect levels of traffic and engagement;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audience believes that their experience is diminished as a result of the decisions we make with respect to the frequency, relevance, and prominence of ads that we display;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there are changes in the third-party platforms on which we rely to deliver a majority of our traffic;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there is a diminishment in the popularity of the third-party platforms on which we distribute our content;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technical or other problems prevent us from delivering our content or services in a rapid and reliable manner or otherwise affect the experience of our traffic;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experience service outages, data protection and security issues;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trademarks are exploited by others without permission or the value of our trademarks is diluted by our actions or the actions of others;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there are adverse changes in our content or services that are mandated by, or that we elect to make to address, legislation, regulatory constraints or litigation, including settlements or consent decrees;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do not maintain our brand image or our reputation is damaged, including as a result of any strategic alliances or licensing agreements with third-parties or relationships with content creators and on-camera talent.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receive a high degree of media coverage around the world. Negative publicity about our company, including about our content quality and reliability, changes to our content and services, privacy and security practices, labor relations, litigation, regulatory activity, and traffic experience with our content and services, even if inaccurate, could adversely affect our reputation and the confidence in and the use of our content and services. Such negative publicity could also have an adverse effect on the size, demographics, engagement and loyalty of our audience and could result in decreased revenue, which would adversely affect our business and operating results. If we are unable to increase our traffic or engagement, or if they decline, this could result in our content or services being less attractive to potential new traffic, as well as partners and advertisers, which would have a material adverse impact on our business, financial condition and operating results. Additionally, if we fail to successfully promote and maintain our brands or if we incur excessive expenses in this effort, our business and financial results may be adversely affected.</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do not consistently produce high quality content and products in a timely manner, our revenue may be materially and negatively impacted.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remain competitive and maximize the chances that audiences select our content and platforms as opposed to the various entertainment options available to them and with which our content and platforms compete, we must continuously develop new creative and relevant content. This content may not be well received by audiences, even if of high quality. Similarly, in order to maximize the chances that consumers select our content and products as opposed to other retail options available to them, we must continue to develop new products for partners and clients, and new channels through which to reach audiences, which may not be well received by consumers, even if of high quality. Audiences and consumers may be critical of our brands, content, products, services, platforms, and / or business practices for a wide variety of reasons, and such negative reactions may not be foreseeable or within our control to manage effectively. Any failure of our content or products to resonate with audiences or consumers may result in our inability to retain existing customers, clients or partners, or engage new customers, clients or partners.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to our existing content and services could fail to attract traffic and advertisers or fail to generate revenue.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introduce significant changes to our existing content. The success of our new content depends substantially on consumer tastes and preferences that change in often unpredictable ways. If this new content fails to engage traffic and advertisers, we may fail to generate sufficient revenue or operating profit to justify our use of resources, and our business and operating results could be adversely affected. In addition, we have launched, and expect to continue to launch, strategic initiatives, which do not yet generate material revenue, but which we believe will enhance our attractiveness to traffic and advertisers. In the future, we may invest in new content, products, services and initiatives to generate revenue, but there is no guarantee these approaches will be successful or that the costs associated with these efforts will not exceed the revenue generated. If our strategic initiatives do not enhance our ability to monetize our existing content or enable us to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approaches to monetization, we may not be able to maintain or grow our revenue or recover any associated development costs and our operating results could be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have sufficient cash flow from our business to fund conversions of the Notes (as defined below) in cash, or repay the Notes at maturity or repurchase them upon a fundamental change, which could have an adverse effect on our financial condition. We cannot provide any assurances that we will be able to fund through operations the necessary amount of capital to repay these obligations. As a result, there is substantial doubt about our ability to continue as a going concern.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its assessment, our management has raised substantial doubt about our ability to continue as a going concern. In addition, our independent registered public accounting firm expressed substantial doubt as to our ability to continue as a going concern in their report accompanying our audited consolidated financial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$150.0 million aggregate principal amount of unsecured convertible notes due 2026 issued in connection with the Business Combination (the “Notes”). As of December 31, 2023, we had $35.6 million of cash and cash equivalents, a decrease of $20.1 million from December 31, 2022. On March 7, 2024, we repaid approximately $30.9 million (plus interest of $0.6 million) to holders of the Notes, leaving approximately $119.1 million aggregate principal amount of Notes outstanding as of March 7, 2024. Refer to Note 23 to our consolidated financial statements included elsewhere in this Annual Report on Form 10-K for additional details about the repayment. </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Each holder of a Note has the right under the indenture governing the Notes to require us to repurchase, for cash, all or a portion of the Notes held by such holder (i) at any time on or after December 3, 2024 (i.e. the third anniversary of the issuance of the Notes),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In addition, a failure to comply with the provisions of the indenture governing our Notes could trigger an event of default under the indenture, which would allow the holders of Notes to accelerate the maturity of the Notes and require us to repay the Notes prior to their maturity.</w:t>
      </w:r>
      <w:r>
        <w:rPr>
          <w:color w:val="000000"/>
        </w:rPr>
        <w:t xml:space="preserve"> </w:t>
      </w:r>
      <w:r>
        <w:rPr>
          <w:rFonts w:ascii="Times New Roman;sans-serif" w:hAnsi="Times New Roman;sans-serif"/>
          <w:b w:val="false"/>
          <w:color w:val="000000"/>
          <w:sz w:val="20"/>
        </w:rPr>
        <w:t>Moreover, we will be required to repay the Notes, in cash, at their maturity, unless earlier converted, redeemed, or repurchased.</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Failure of our Class A common stock to be listed on any national securities exchange or quoted on Nasdaq would constitute a fundamental change under the indenture. As such, within 20 business days of a delisting, we would have to offer to repurchase the Notes, for cash, at a repurchase price equal to 101% of the principal amount plus accrued and unpaid interest, no later than the 35th business day following such notice. In the absence of a refinancing of our debt, we may not have the funds on hand to make such payment within 35 business days of such a fundamental change and, in that event, may not be able to fulfill our repurchase obligation, leading to a potential event of default under the Notes.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have enough available cash or be able to obtain financing at the time we are required to repurchase the Notes. Our ability to pay cash upon conversion of the Notes depends in part on our future performance, which is subject to economic, financial, competitive and other factors including, but not limited to, rising inflation, elevated interest rates, and other negative macroeconomic factors, some of which are out of our control. Our business may not generate cash flow to service our debt. If we are unable to generate such cash flow, we may be required to adopt one or more alternatives, such as selling assets, restructuring debt or obtaining additional equity capital on terms that may be onerous or highly dilutive, which could have a material adverse effect on our financial condition and ability to continue as a going concern.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repurchase or to pay cash upon conversions or at maturity of the Notes may be limited by law, regulatory authority or agreements governing any future indebtedness. Our failure to repurchase the Notes at a time when the repurchase is required by the indenture governing the Notes or to pay any cash payable on future conversions of the Notes as required by the indenture would constitute a default under the indenture. We may not have sufficient funds to satisfy all amounts due under the other indebtedness and the Notes.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9 to the consolidated financial statements included elsewhere within this Annual Report on Form 10-K, we may, at our election, force conversion of the Notes after December 3, 2024,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The closing price of our Class A common stock was $0.25 on December 29, 2023, and $0.40 on March 27, 2024. As a result, we currently believe it is unlikely we will be able to force conversion of the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our current plans, we anticipate that our existing cash and cash equivalents will be sufficient to fund operations throughout the third quarter of 2024, assuming the Notes are called in the fourth quarter of 2024. Our assessment is based on our management’s current assumptions, which may prove to be wrong, and we could spend our available financial resources faster than we currently expect.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continue as a going concern may depend on our ability to obtain additional financing or through consummating other transactions to strengthen our balance sheet. We are currently working with external advisors to optimize our consolidated balance sheet and evaluate our assets. </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going concern opinion could impair our ability to finance our operations through public or private equity offerings, or debt financings, or a combination of one or more of these funding sources. Any additional equity or debt financing could be extremely dilutive to our current shareholders. Additional capital may not be available on reasonable terms, or at all. If we are unable to obtain capital, or consummate additional asset sales (if needed), our business would be jeopardized and we may not be able to continue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 portion of our online traffic is generated from other third-party platforms and Internet search engines. Declines in referrals from third-party platforms could therefore cause our revenue to decline.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ability to attract online visitors to our owned and operated properties, and we depend in part on referrals from third-party platforms and Internet search companies, most prominently Apple News, Google, Facebook, YouTube, Instagram, TikTok, Snapchat, and Twitter, to direct visitors to our owned and operated properties. Our ability to maintain or increase the number of visitors to our owned and operated properties from third-party platforms and Internet search engines is not entirely within our control.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these platforms have diminished, and may continue to diminish, in popularity. A diminishment in popularity in any of these platforms, whether because access to that platform is denied in certain markets or for any other reason, could negatively impact our business, revenue, and results of operations. Further, consumer adoption of AI tools to perform internet searches could impact Internet search referrals to our websites, should users forgo referrals and instead rely on large language model summaries of our content.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platforms and major tech companies continue to prioritize their formats, in lieu of sending audience traffic to publishers such as us, which may cause referrals from these platforms to our content to diminish. Additionally, search companies frequently revise their algorithms, and changes in their algorithms could cause our owned and operated properties to receive less favorable placements. If these platform providers deny access to our content, modify their current discovery mechanisms or algorithms, develop their own competitive offerings, or impose fees for access to and use of their platforms, our business could be negatively impacted. We are also subject to the standard terms, conditions, and practices of these platform providers, which govern the promotion, distribution, operation and use of our content. Platform providers have broad discretion to change their standard terms and conditions and have the right to prohibit us from distributing content on their platforms if we violate them. In addition, platform providers can change their policies or interpretations of their standard terms and conditions. Our business could suffer materially if platform providers change their standard terms and conditions, interpretations or other policies and practices in a way that is detrimental to us or if platform providers determine that we are in violation of their standard terms and conditions and prohibit us from distributing our content on their platforms. Moreover, if we are unable to maintain a good relationship with these platform providers, our business and operating results could be adversely affected.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several initiatives underway to attract more users directly to our owned and operated websites and applications, there is no guarantee they will be successful. As such, the decline in referrals from third-party platforms and major tech companies has had, and may continue to have, an adverse impact on our revenues. Our business could also be harmed if these platforms change their terms and conditions relating to how their users share information on or through their platforms or across other platforms, which could impact our traffic and engagement. </w:t>
      </w:r>
    </w:p>
    <w:p>
      <w:pPr>
        <w:pStyle w:val="TextBody"/>
        <w:bidi w:val="0"/>
        <w:spacing w:lineRule="auto" w:line="288" w:before="240" w:after="283"/>
        <w:ind w:left="0" w:right="0" w:firstLine="360"/>
        <w:jc w:val="both"/>
        <w:rPr/>
      </w:pPr>
      <w:r>
        <w:rPr>
          <w:rFonts w:ascii="Times New Roman;sans-serif" w:hAnsi="Times New Roman;sans-serif"/>
          <w:b w:val="false"/>
          <w:color w:val="333333"/>
          <w:sz w:val="20"/>
        </w:rPr>
        <w:t xml:space="preserve">Similarly, a single customer </w:t>
      </w:r>
      <w:r>
        <w:rPr>
          <w:color w:val="000000"/>
        </w:rPr>
        <w:t xml:space="preserve">— </w:t>
      </w:r>
      <w:r>
        <w:rPr>
          <w:rFonts w:ascii="Times New Roman;sans-serif" w:hAnsi="Times New Roman;sans-serif"/>
          <w:b w:val="false"/>
          <w:color w:val="333333"/>
          <w:sz w:val="20"/>
        </w:rPr>
        <w:t xml:space="preserve">Amazon </w:t>
      </w:r>
      <w:r>
        <w:rPr>
          <w:color w:val="000000"/>
        </w:rPr>
        <w:t xml:space="preserve">— </w:t>
      </w:r>
      <w:r>
        <w:rPr>
          <w:rFonts w:ascii="Times New Roman;sans-serif" w:hAnsi="Times New Roman;sans-serif"/>
          <w:b w:val="false"/>
          <w:color w:val="333333"/>
          <w:sz w:val="20"/>
        </w:rPr>
        <w:t>currently accounts for the vast majority of our affiliate commerce revenue. As such, the loss of this customer or a reduction in its commercial dealings with us for any reason could have a negative impact on that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have incurred operating losses in the past, may incur operating losses in the future, and may not achieve or maintain profitability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inception, we have generally incurred significant losses and we may continue to incur net losses in the future. For the year ended December 31, 2023, we had a net loss from continuing operations of $60.3 million. As of December 31, 2023, we had an accumulated deficit of $611.8 million. We have significantly decreased our expenses since 2022; however, we cannot guarantee that we will be able to increase our revenue in order to achieve or maintain profitability or generate positive cash flow. For example, during the year ended December 31, 2023, our total revenue decreased by 26% compared to the year ended December 31, 2022.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Acquisitions, dispositions, joint ventures, strategic partnerships and strategic investments could disrupt our business and harm our financial condition and operating results.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In the past, we have made acquisitions and investments, such as our acquisition of HuffPost in February 2021 and of Complex Networks as part of the Business Combination. We have also disposed of a business (i.e., our sale of certain assets relating to the business of Complex Networks pursuant to the Asset Purchase Agreement, dated as of February 21, 2024, with Commerce Media Holdings, LLC (the “Disposition”)). We continue to work with our advisors to optimize our balance sheet and evaluate our assets. </w:t>
      </w:r>
      <w:r>
        <w:rPr>
          <w:rFonts w:ascii="Times New Roman;sans-serif" w:hAnsi="Times New Roman;sans-serif"/>
          <w:b w:val="false"/>
          <w:color w:val="000000"/>
          <w:sz w:val="20"/>
          <w:shd w:fill="FFFFFF" w:val="clear"/>
        </w:rPr>
        <w:t xml:space="preserve">If we decide to sell assets or a business, we may encounter difficulty in finding buyers or alternative exit strategies on acceptable terms in a timely manner, which could delay the achievement of our strategic objectives. We may also dispose of a business at a price or on terms that are different from current balance sheet values, which could result in significant asset write-down charges that could have a material adverse effect on our financial condition and results of operations. We may also </w:t>
      </w:r>
      <w:r>
        <w:rPr>
          <w:rFonts w:ascii="Times New Roman;sans-serif" w:hAnsi="Times New Roman;sans-serif"/>
          <w:b w:val="false"/>
          <w:color w:val="000000"/>
          <w:sz w:val="20"/>
        </w:rPr>
        <w:t xml:space="preserve">incur significant or unanticipated expenses, experience greater dis-synergies than expected, or disrupt relationships with our employees, customers and business partners. </w:t>
      </w:r>
      <w:r>
        <w:rPr>
          <w:rFonts w:ascii="Times New Roman;sans-serif" w:hAnsi="Times New Roman;sans-serif"/>
          <w:b w:val="false"/>
          <w:color w:val="000000"/>
          <w:sz w:val="20"/>
          <w:shd w:fill="FFFFFF" w:val="clear"/>
        </w:rPr>
        <w:t xml:space="preserve">There can be no assurance whether the strategic benefits and expected financial impact of any divestiture, including the Disposition, will be achieved. </w:t>
      </w:r>
      <w:r>
        <w:rPr>
          <w:rFonts w:ascii="Times New Roman;sans-serif" w:hAnsi="Times New Roman;sans-serif"/>
          <w:b w:val="false"/>
          <w:color w:val="000000"/>
          <w:sz w:val="20"/>
        </w:rPr>
        <w:t xml:space="preserve">Such actions may also result in the diversion of management time and focus from operating our business or result in claims against us, including from stockholders. The occurrence of any of these events could have an adverse effect on our reputation, business and results of operations. </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development and implementation of AI solutions may not be successful, which may impair our ability to compete effectively, result in reputational harm and have a material adverse impact on our operating results.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We may seek to incorporate AI solutions into our products, services and applications. As with many innovations, AI presents risks, challenges, and unintended consequences that could impact our successful ability to incorporate the use of AI in our business. For example, our AI algorithms may be flawed and not achieve sufficient levels of accuracy or contain biased information. In addition, our competitors or other third parties may incorporate AI solutions into their products more quickly or more successfully than us, and their AI solutions may achieve higher market acceptance than ours, which may result in us failing to recoup our investments in developing AI-powered applications. Our ability to employ AI, or the ability of our competitors to do so better, may impair our ability to compete effectively, result in reputational harm and have a material adverse impact on our operating results. Moreover, AI may give rise to litigation risk, including potential intellectual property or privacy liability. Because AI is an emerging technology, there is not a mature body of case law construing the appropriateness of certain of its uses of data </w:t>
      </w:r>
      <w:r>
        <w:rPr>
          <w:color w:val="000000"/>
        </w:rPr>
        <w:t xml:space="preserve">— </w:t>
      </w:r>
      <w:r>
        <w:rPr>
          <w:rFonts w:ascii="Times New Roman;sans-serif" w:hAnsi="Times New Roman;sans-serif"/>
          <w:b w:val="false"/>
          <w:color w:val="000000"/>
          <w:sz w:val="20"/>
        </w:rPr>
        <w:t xml:space="preserve">whether through the employment of large language models or other models leveraging data found on the Internet </w:t>
      </w:r>
      <w:r>
        <w:rPr>
          <w:color w:val="000000"/>
        </w:rPr>
        <w:t xml:space="preserve">— </w:t>
      </w:r>
      <w:r>
        <w:rPr>
          <w:rFonts w:ascii="Times New Roman;sans-serif" w:hAnsi="Times New Roman;sans-serif"/>
          <w:b w:val="false"/>
          <w:color w:val="000000"/>
          <w:sz w:val="20"/>
        </w:rPr>
        <w:t>and the evolution of this law may limit our ability to exploit AI tools, or expose us to litigation. Further, AI presents emerging ethical issues and if our use of AI algorithms draws controversy due to their perceived or actual impact on society, we may experience brand or reputational harm, competitive harm or legal liability.</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realize the expected financial and operational benefits of our recently announced restructuring plan, and its implementation may negatively impact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we reduced expenses by beginning the implementation of an approximately 16% reduction in our then-current workforce (after the Disposition). In doing so, we reduced the size of our centralized operations to enable our individual brands to operate with more autonomy and deliver against their differentiated value propositions for advertisers. This reduction in workforce plan is intended to position us to be more agile, sustainable, and profitable. </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There can be no assurance that our business will be more efficient or effective than prior to implementation of the plan. In addition, we cannot guarantee that this restructuring will achieve the desired and anticipated benefits within any expected timeframe. Our expectations are subject to many estimates and assumptions, and the actual savings and costs, and the timing for those savings and costs, may vary materially based on factors such as local labor regulations, collective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bargaining agreement requirements, negotiations with third parties, and operational requirements. These estimates and assu</w:t>
      </w:r>
      <w:r>
        <w:rPr>
          <w:rFonts w:ascii="Times New Roman;sans-serif" w:hAnsi="Times New Roman;sans-serif"/>
          <w:b w:val="false"/>
          <w:color w:val="000000"/>
          <w:sz w:val="20"/>
        </w:rPr>
        <w:t>mptions are also subject to significant economic, competitive and other uncertainties, some of which are beyond our control. Further, we have implemented restructuring plans in the past, including as recently as April 2023, and there can be no assurances that further restructuring plans will not be needed. The implementation of this restructuring plan, or any we implement in the future, may also be costly and disruptive to our business or have other negative consequences, such as litigation, attrition beyond our planned reduction in workforce, negative impacts on employee morale and productivity, or on our ability to attract and retain highly s</w:t>
      </w:r>
      <w:r>
        <w:rPr>
          <w:rFonts w:ascii="Times New Roman;sans-serif" w:hAnsi="Times New Roman;sans-serif"/>
          <w:b w:val="false"/>
          <w:color w:val="000000"/>
          <w:sz w:val="20"/>
          <w:shd w:fill="FFFFFF" w:val="clear"/>
        </w:rPr>
        <w:t>killed employees. Any of these consequences could negatively impact our business.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loss of key personnel, or our failure to attract and retain other highly qualified personnel in the future, could harm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depend upon the continued services and performance of our key personnel. We have not entered into any employment agreement or non-competition agreement with our Chief Executive Officer and Founder, Jonah Peretti, and his employment with us is at-will, as is our employment relationship with the other members of our senior management team. In 2023, our Chief Financial Officer, Chief Legal Officer, and President departed the Company, and we eliminated certain executive-level positions. There may be other changes to our senior management team in the future. Changes to our management team may be disruptive or result in that team failing to execute our plans and strategies on a timely basis or otherwise to work together effectively. In addition, most of our content is custom-made for our business by our personnel. The loss of key personnel, including key engineering, video, editorial, and sales personnel, could disrupt our operations and have an adverse effect on our business. Further, we cannot guarantee that we can retain personnel with relevant public company experience. Negative publicity about us could adversely affect our reputation and our ability to attract and retain employees. Volatility in our stock price can impact our ability to utilize equity awards or other equity-based incentives to attract, retain and motivate employees. If we do not succeed in effectively attracting, hiring and integrating new talented personnel, or retaining and motivating existing personnel, our employee morale, productivity and retention could suffer, and our business and operating results could be adversely affected.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content creators and on-camera talent may materially and adversely affect our reputation.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relationships with and monetize content created by many content creators and on-camera talent. Negative commentary regarding us, our products and services or content creators, talent, and other third parties who are affiliated with us may also be posted on social platforms and may be adverse to our values, reputation or business. Content creators and on-camera talent with whom we maintain relationships could engage in behavior or use their platforms to communicate directly with our consumers in a manner that reflects poorly on our brand and may be attributed to us or otherwise adversely affect us. It is not possible to prevent such behavior, and the precautions we take to detect and distance ourselves from this activity may not be effective in all cases. Our target consumers often value readily available information and could act on such information without further investigation and without regard to its accuracy. Whether the information is accurate or not, the harm may be immediate, without affording us an opportunity for redress or correction. Further, such behavior by a content creator or on-camera talent may result in our being unable or unwilling to continue current production or other activities, and use and monetize our library of paid or sponsored branded, editorial, syndicated and studio content featuring such creator or talent, which could have a negative impact on our revenues.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Relationships with third parties managing certain of our branded operations outside of the U.S. may materially and adversely affect our reputation.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Increasingly, our branded operations outside of the U.S. are managed via license agreements with third parties, such as our relationship with Independent Digital News Media Limited. Refer to Note 23 included elsewhere within this Annual Report on Form 10-K for further details on the license agreement with Independent Digital News Media Limited. While we require the third parties to which we license our intellectual property to follow certain brand guidelines and these parties are otherwise obligated to protect the value of our property and reputation, we cannot assure that they will do so, and if they fail to do so, such failure could adversely affect our business. Further, the failure of these third parties to successfully exploit our intellectual property in the territories in which they have the exclusive right to do so could have a negative effect on our revenues or diminish the overall value of our brands which, in turn, could adversely affect our business and operating results. In addition, licensing the rights to exploit our intellectual property may make it difficult for us to sell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underlying property, if we want to do so, as a potential buyer may want the right to exploit it throughout the world, unencumbered by these rights.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financial results have fluctuated in the past and will fluctuate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historical financial results have fluctuated in the past and will expect they will continue to do so. Our financial results in any given reporting period may be influenced by numerous factors, many of which we are unable to predict or are outside of our control,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maintain and grow traffic and engagement;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made to the social media and other platforms that are important channels of distribution for our content, or changes in the patterns of use of those channels by users;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attract and retain advertisers in a particular period;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shifts in advertiser and consumer spending habits;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seasonal fluctuations in our revenue — for example, our revenue is typically highest in the fourth quarter of the year due to strong advertising spending and consumer spending during this quarter;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number of ads shown to our traffic;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pricing of our advertising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diversification and growth of revenue sources beyond current advertising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development and introduction of new content, products or services by us or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increases in marketing, sales, and other operating expenses that we may incur to grow and expand our operations and to remain competitive;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maintain gross margins and operating margins;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system failures or breaches of security or privacy.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historical financial results should not be relied upon as indicators of our future performance.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business and operating results may be harmed by a disruption in our service, or by our failure to timely and effectively scale and adapt our existing technology and infrastructure.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Service delays, outages or disruptions, or the loss or compromise of data, could result from a variety of causes, including infrastructure changes, human or software errors, hardware failure, capacity constraints due to an overwhelming number of people accessing our products and services simultaneously, computer viruses, malicious cyber activities, denial of service, fraud or security attacks. In addition, our operations are susceptible to outages and interruptions due to fire, flood, earthquake, tsunami, other natural disasters, power loss, equipment or telecommunications failures, cyber attacks, terrorist attacks, political or social unrest, and other events over which we have little or no control. We do not have multiple site capacity for all of our services and some of our systems are not fully redundant in the event of delays or disruptions to service, so some data or systems may not be fully recoverable after such events.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rely on third-party providers over which we have little or no control for our principal Internet connections and co-location of a significant portion of our data servers. Any disruption of the services they provide us or any failure of these third-party providers to handle higher volumes of use could, in turn, cause delays or disruptions in our services and loss of revenue. Accordingly, in the event of a significant issue at the data center supporting most of our network traffic, some of our content and services may become inaccessible to the public or the public may experience difficulties accessing our content and services. Any disruption or failure in our infrastructure, whether resulting from our actions or omissions, or those of third-party providers, could hinder our ability to handle existing or increased traffic on our platform, which could significantly harm our business. As the level of our traffic increases, we may be required to expand and adapt our technology and infrastructure to continue to reliably store, serve, and analyze our content. It may become increasingly difficult to maintain and improve the performance of our services, especially during peak usage times, as our services become more complex and our user traffic increases. The systems through which we provide our services are highly technical, complex, and interdependent. Design errors might exist in these systems, or might be introduced when we make modifications, which might cause service malfunctions or require services to be taken offline while corrective responses are developed. If our traffic is unable to access our platform or our content on third-party platforms, or we are not able to make content available rapidly on our platform or on third-party platforms, our traffic may seek other channels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obtain the information, and may not return to our platform or view our content on third-party platforms, or use our platform as often in the future, or at all. This would negatively impact our ability to attract, retain, and increase the number and engagement of our traffic, platform partners and advertisers, as well as damage our brands, generate legal costs or liability, and harm our operating results.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track certain performance metrics with our internal tools which are not independently verified by any third party.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user base, or traffic levels,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we fail to effectively invest in our business, operating results could be harmed.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look for ways to diversify our business, we may need to invest in our operating capacities, such as research and content development, in order to keep pace with our competition. In those areas where we invest, such as, for example, in our capacity to leverage AI and develop new associated products, we may face significant competition for talent and we may not be able to hire the right new employees to meet our needs. Providing our content, services and features to our audience and customers is costly and we expect there to be upward pressure on expenses as we continue to work to deepen engagement and develop and implement new features and services that require more infrastructure. While we continue to look for ways to offset these upward pressures on expenses, including by reducing costs elsewhere, we may not be successful. Our expenses may grow faster than our revenue, and our expenses may be greater than we anticipate. Any of this could negatively affect our business performance.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management team has limited experience managing a public company.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members of our management team have limited experience managing a publicly-traded company, interacting with public company investors, and complying with the increasingly complex laws pertaining to public companies. We are subject to significant regulatory oversight and reporting obligations under the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and operating results.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the security of our information technology systems or data is compromised or if our platform is subjected to attacks that frustrate or thwart our users’ ability to access our products and services, our users, advertisers, and partners may cut back on or stop using our products and services altogether, which could seriously harm our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involve the collection, storage, use, and transmission of personal and proprietary information of certain of our users, advertisers, and partners on our equipment, networks, and corporate systems. Our efforts to protect our sensitive information, including information that our users, advertisers, and partners have shared with us, may be unsuccessful due to the actions of third parties, including traditional “black hat” hackers, nation states, nation-state supported groups, organized criminal enterprises, hacktivists, and our personnel and contractors (through theft, misuse, or other risk). We and the third parties on which we rely may be subject to a variety of evolving threats, including social-engineering attacks, malware, malicious code, hacking, credential stuffing and denial of service.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Security breaches expose us to a risk of loss of this information, operational disruptions, litigation, remediation costs, increased costs for security measures, ransomware, loss of revenue, damage to our reputation, and potential liability. Any system failure or compromise of our security that results in the unauthorized access to or release of our traffic’s or advertisers’ data, could significantly limit our content delivery and traffic engagement, as well as harm our reputation and brands and, therefore, our business. Our security measures may also be breached due to employee error, malfeasance, or otherwise.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severe ransomware attacks are becoming increasingly prevalent. To alleviate the financial, operational, and reputational impact of these attacks, it may be preferable to make extortion payments, but we may be unwilling or unable to do so, including, for example, if applicable laws or regulations prohibit such payments. And, even if we make such payments, cyber threat actors may still disclose data, engage in further extortion, or otherwise harm our systems or data. Moreover, for certain employees, we permit a remote working environment, which has increased risks to our IT systems and data, as our employees utilize network connections, computers, and devices outside our premises or network, including working at home, while in transit and in public locations.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cyber threat actors have also increased the complexity of their attempts to compromise user accounts, despite our defenses and detection mechanisms to prevent these account takeovers. User credentials may be obtained off-platform, including through breaches of third-party platforms and services, password stealing malware, social engineering, or other tactics and techniques like credential harvesting, and used to launch coordinated attacks. Some of these attacks may be hard to detect at scale and may result in cyber threat actors using our service to spam or abuse other users, access user personal data, further compromise additional user accounts, or to compromise employee account credentials or social engineer employees into granting further access to systems.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rely on the technology and systems provided by third-party vendors (including cloud-based service providers) for a variety of operations, including encryption and authentication technology, employee email, domain name registration, content delivery to customers, administrative functions (including payroll processing and certain finance and accounting functions), and other operations. Our ability to monitor the information security practices of these third parties is limited, and these third parties may not have adequate information security measures in place despite their contractual representations to implement such measures and our third-party service provider vetting process. If these third parties fail to implement adequate data security practices or fail to comply with our terms, policies, or contractual obligations, our sensitive information may be improperly accessed or disclosed, and we may experience adverse consequences. Even if these third parties take all of these steps, their networks may still suffer a breach, which could compromise our sensitive information. We or our third-party providers may also experience failures or malfunctions of hardware or software, the loss of technology assets, or the loss of data that, while not caused by threat actors, may have a similar impact and risk to our business. While we may be entitled to damages if our third-party service providers fail to satisfy their privacy or security-related obligations to us, or cause the loss of our data or prolonged downtime, any award may be insufficient to cover our damages, or we may be unable to recover such award. Additionally, hardware, software or applications we procure from third parties may contain defects in design or manufacture or other problems that could unexpectedly compromise network and data security. We also currently use open-source software and anticipate possibly using open-source software in the future. The use of certain open-source software can lead to greater risks than use of third-party commercial software, as open-source licensors generally do not provide warranties or controls on the origin of software. Additionally, outside parties may attempt to fraudulently induce our employees, traffic or advertisers to disclose sensitive information in order to gain access to our data or our traffic’s or advertisers’ data or accounts, or may otherwise obtain access to such data or accounts. Further, our systems, and those of third parties upon which our business relies, may be vulnerable to interruption or damage that can result from natural disasters or the effects of climate change (such as increased storm severity and flooding), fires, power or Internet outages, acts of terrorism or other similar events. If any of these or similar events occur, our or our third-party partners’ sensitive information and IT systems could be compromised, resulting in a security incident or other interruption.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implemented security measures designed to protect against security incidents, there can be no assurance that these measures will be effective. We take steps designed to detect and remediate vulnerabilities in our information systems (such as our hardware and software, including that of third parties upon which we rely), and we work with security researchers through our bug bounty program to help us identify vulnerabilities. We may not, however, detect, become aware of, and remediate all such vulnerabilities including on a timely basis, and there is no guarantee security researchers will disclose all vulnerabilities they become aware of or do so responsibly. Further, we may experience delays in developing or deploying remedial measures and patches designed to address identified vulnerabilities. Vulnerabilities could be exploited and result in a security or privacy incident.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security threats are constantly evolving, increasing the difficulty of detecting and successfully defending against them. To date, no incidents have had, either individually or in the aggregate, a material adverse effect on our business, financial condition or results of operations. However,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a perceived breach of our security occurs or an actual breach of our security that results in degraded website or application performance, unauthorized access, availability problems, or the loss or unauthorized disclosure of confidential information occurs, the market perception of the effectiveness of our security measures could be harmed, our traffic, advertisers,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partners may lose trust and confidence in us or decrease the use of our websites, applications or services or stop using our services in their entirety; and we may incur significant legal and financial exposure, including legal claims, higher transaction fees, and regulatory fines and penalties. Despite our implementation of network security measures, our servers are vulnerable to computer viruses, malware, worms, hacking, physical and electronic break-ins, router disruption, sabotage or espionage, and other disruptions from unauthorized access and tampering, as well as coordinated denial-of-service attacks. We may not be in a position to promptly address attacks or to implement adequate preventative measures if we are unable to immediately detect such attacks. Any of these actions could have a material adverse effect on our business, reputation, and operating results. Such events could result in large expenditures to investigate or remediate, to recover data, to repair or replace networks or information systems, including changes to security measures, to deploy additional personnel, to defend litigation or to protect against similar future events, and may cause damage to our reputation or loss of revenue. Certain data privacy and security obligations may require us to implement and maintain specific security measures or industry-standard or reasonable security measures to protect our systems and sensitive information.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security incident experienced by us or our third-party partners could damage our reputation and our brand, and diminish our competitive position. Applicable privacy and security obligations may require us to notify relevant stakeholders, including affected individuals, customers, regulators, and investors, of security incidents. Such disclosures are costly and the failure to comply with these legal requirements could lead to adverse consequences. Governments and regulatory agencies (including the SEC) have and may continue to enact new disclosure requirements for cybersecurity events. In addition, affected users or government authorities could initiate legal or regulatory action against us, including class-action claims, mass arbitration demands, investigations, penalties, and audits, which could be time-consuming and cause us to incur significant expenses or liabilities or result in orders or consent decrees forcing us to modify our business practices. We could also experience loss of user or advertiser confidence in the security of our platform, additional reporting requirements or oversight, restrictions on processing sensitive information, claims by our partners or other relevant parties that we have failed to comply with contractual obligations or our policies, and indemnification obligations. We could also spend material resources to investigate or correct the incident and to prevent future incidents. Maintaining the trust of our users is important to sustain our growth, retention, and user engagement. Concerns over our privacy and security practices, whether actual or unfounded, could damage our reputation and brand and deter users, advertisers, and partners from using our products and services. Any of these occurrences could seriously harm our business.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Some of our services contain open-source software, and we license some of our software through open-source projects, which may pose particular risks to our proprietary software, products, and services in a manner that could have a negative effect on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open-source software in our products and services and will use open-source software in the future. In addition, we contribute software source code to open-source projects under open-source licenses or release internal software projects under open-source licenses, and anticipate doing so in the future.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Additionally, we may from time to time face claims from third parties claiming ownership of, or demanding release of, the open-source software or derivative works that we developed using such software, which could include our proprietary source code, or otherwise seeking to enforce the terms of the applicable open-source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significant additional research and development resources, and we may not be able to complete it successfully. In addition to risks related to license requirements, use of certain open-source software can lead to greater risks than use of third-party commercial software, as open-source licensors generally do not provide warranties or controls on the origin of software. Additionally, because any software source code we contribute to open-source projects is publicly available, our ability to protect our intellectual property rights with respect to such software source code may be limited or lost entirely, and we may be unable to prevent our competitors or others from using such contributed software source code. Any of these risks could be difficult to eliminate or manage, and, if not addressed, could have a negative effect on our business, financial condition and operating results.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traffic growth, engagement, and monetization depend upon effective operation within and compatibility with operating systems, networks, devices, web browsers and standards, including mobile operating systems, streaming tools, networks, and standards that we do not control.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our content available across a variety of operating systems and through websites. We are dependent on the compatibility of our content with popular devices, streaming tools, desktop and mobile operating systems and web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browsers that we do not control, such as Mac OS, Windows, Android, iOS, Chrome, and Firefox. Any changes in such systems, devices or web browsers that degrade the functionality of our content or give preferential treatment to competitive content could adversely affect usage of our content. A majority of our traffic accesses our content and services through mobile devices and we expect to continue to devote significant resources to the creation and support of developing new and innovative mobile products, services and applications. As a result, our ability to grow advertising revenue is increasingly dependent on our ability to generate revenue from content viewed and engaged with on mobile devices. We are dependent on the interoperability of our content and our applications with popular mobile operating systems, streaming tools, networks and standards that we do not control, such as the Android and iOS operating systems. Our mobile applications are downloaded from third-party app stores, such as the Apple App Store and Google Play. We may not be successful in maintaining or developing relationships with key participants in the mobile industry or in developing content or applications that operate effectively with these technologies, systems, tools, networks, or standards. Any changes in such systems, or changes in our relationships with mobile operating system partners, handset manufacturers, or mobile carriers, or in their terms of service or policies that reduce or eliminate our ability to distribute our content or applications, impair access to our content by blocking access through mobile devices, make it hard to readily discover, install, update or access our content and applications on mobile devices, give preferential treatment to competitive, or their own, content or applications, limit our ability to measure the effectiveness of branded content, or charge fees related to the distribution of our content or applications could adversely affect the consumption and monetization of our content on mobile devices. Additionally, if the number of platforms for which we develop our products expands, it will result in an increase in our operating expenses. In the event that it is more difficult to access our content or use our applications and services, particularly on mobile devices, or if our traffic chooses not to access our content or use our applications on their mobile devices or choose to use mobile products that do not offer access to our content or our applications, or if the preferences of our traffic requires us to increase the number of platforms on which our product is made available to our traffic, our traffic growth, engagement, ad targeting and monetization could be harmed and our business and operating results could be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business depends on continued and unimpeded access to our content and services on the Internet. If we or those who engage with our brands or content experience disruptions in Internet service or if Internet service providers are able to block, degrade or charge for access to our content and services, we could incur additional expenses and the loss of traffic and advertisers.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the ability of our traffic and advertisers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access by our traffic to our content, products or services, which would, in turn, negatively impact our business. The adoption of any laws or regulations that adversely affect the growth, popularity or use of the Internet, including laws or practices limiting Internet neutrality, could decrease the demand for, or the usage of, our content, products and services, increase our cost of doing business and adversely affect our operating results. We also rely on other companies to maintain reliable network systems that provide adequate speed, data capacity, and security to us and our traffic. As the Internet continues to experience growth in the level of traffic, frequency of engagement, and amount of data transmitted, the Internet infrastructure that we and our traffic rely on may be unable to support the demands placed upon it. Failures of the Internet infrastructure that we or our traffic rely on, even for a short period of time, could undermine our operations and harm our operating results.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where we historically maintained significant deposits, and another bank were swept into receivership. While the U.S. Federal Reserve, the U.S. Treasury Department, and the FDIC guaranteed all deposits, above and beyond the limit on insured deposits at these banks, there can be no assurance that there will not be additional bank failures or issues in the broader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financial system, which may have an impact on the broader capital markets and, in turn, our ability to access those markets.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have historically maintained most of our deposits at a limited number of financial institutions and retain lending relationships with a limited number of banking institutions. If our relationship banks and financial institutions experience difficulties, our ability to access our cash and cash equivalents, including transferring funds, making payments, or receiving funds may be threatened. Similarly, if any parties with whom we conduct business are unable to access funds pursuant to lending arrangements with a closed financial institution, such parties’ ability to pay their obligations to us or to enter into new commercial arrangements requiring additional payments to us could be adversely affected.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historically our deposit accounts have held deposits in excess of the FDIC-insured amount of $250,000 (actual dollars) per depositor. There can be no assurance our deposits in excess of the FDIC or other comparable insurance limits will be backstopped by the U.S. government or that any bank or financial institution with which we do business will be able to obtain needed liquidity from other banks, government institutions, or by acquisition in the event of a failure or liquidity crisis.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international operations are subject to challenges and risks.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offices around the world and our content is available in multiple languages. Our business and the conduct of our operations internationally requires considerable management attention and resources and is subject to the particular challenges of supporting a business in an environment of multiple languages, cultures, customs, legal and regulatory systems, alternative dispute systems and commercial markets. Operating internationally subjects us to risks, and may increase risks that we currently face, including risks associated with:</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recruiting, integrating and retaining talented and capable employees in foreign countries and maintaining our company culture across all of our offices;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providing our content and operating across a significant distance, in different languages and among different cultures, including the potential need to modify our products, content and services to ensure that they are culturally relevant in different countries;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increased competition from local media companies and mobile applications which have expanded and may continue to expand their geographic footprint;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differing and potentially lower levels of user growth, user engagement, and ad engagement in new and emerging geographic territories;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operating through license agreements with third parties managing certain BuzzFeed branded operations outside of the U.S.;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applicable foreign laws and regulations, including laws and regulations with respect to privacy, consumer protection, and media freedom;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operating in jurisdictions that do not protect intellectual property rights to the same extent as the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compliance with anti-corruption laws including, without limitation, compliance with the Foreign Corrupt Practices Act and U.K. Bribery Act (and local law analogues);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compliance with economic and trade sanctions set by, among others, the Office of Foreign Assets Control against targeted foreign governments, entities and individuals;</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risk of fluctuations in foreign currency exchange rates, as we transact business in various foreign currencies, including obtaining revenue and incurring costs denominated in foreign currencies, primarily the British pound, Japanese yen, and Canadian dollar and, accordingly, changes in exchange rates, could negatively affect our and results of operations as expressed in U.S. dollars, a risk we do not currently engage in hedging activities to limit;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foreign exchange controls that might require significant lead time in setting up operations in certain geographic territories and might prevent us from repatriating cash earned outside the U.S.;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double taxation of our international earnings and potentially adverse tax consequences due to changes in the tax laws of the U.S. or the foreign jurisdictions in which we operate;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costs of doing business internationally, including increased accounting, travel, infrastructure, and legal compliance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manage the complexity of our global operations successfully, our business, financial condition and operating results could be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flexible working arrangements may have an adverse effect on our business.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employees can work from home when and where possible. The remote working environment may create increased vulnerability to cybersecurity incidents, including breaches of information systems security, which could damage our reputation and commercial relationships. Over time, such remote operations may decrease the cohesiveness of our teams and our ability to maintain our culture, both of which are critical to our success. Additionally, a remote working environment may impede our ability to undertake new business projects, foster a creative environment, and hire and retain team members. Such effects may adversely affect the productivity of our team members and overall operations, which could have a material adverse effect on our business, results of operations, financial condition, and future prospects.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earthquakes, fire, power outages, floods and other catastrophic events, and to interruption by man-made problems such as terrorism.</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natural disaster, such as an earthquake, fire, flood or significant power outage could have a material adverse impact on our business, operating results, and financial condition. Despite any precautions we may take, the occurrence of a natural disaster or other unanticipated event could impact our cloud infrastructure and result in lengthy interruptions in our services. In addition, acts of terrorism and other geopolitical unrest (including the ongoing conflicts between Israel and Hamas and between Russia and Ukraine) could cause disruptions in our business. All of the aforementioned risks may be further increased if our disaster recovery plans prove to be inadequate. We have implemented a disaster recovery program for a subset of our properties, which allows us to serve static content or switch content delivery networks in the event of a catastrophe. Although the program is functional, our properties will have degraded experiences including a period of time that our products or services, or certain of our products or services, will remain inaccessible or people may experience severe issues accessing our products and services. Any such natural disaster or man-made problem could adversely impact our business, financial condition, and operating results. Further, a portion of our employees are journalists, who may face heightened dangers during such catastrophes, particularly when reporting in high-risk environments, and any failure on our part to mitigate such risks could cause us reputational harm and adversely impact our business, financial condition, and operating results.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COVID-19 pandemic and other similar health pandemics or epidemics may have an adverse effect, or a temporary and unsustainable positive impact, on our business, results of operations, and financial condition.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risks related to health pandemics and epidemics, including risks related to any responses thereto by the federal, state or foreign governments, as well as our customers and business partners, to attempt to mitigate the spread of disease, all of which are out of our control. Such actions could impact national and global economic activity or the capital and financial markets, which may impact the financial circumstances of our customers and business partners or contribute to a general economic slowdown. Any of these things could adversely affect our operations and distribution network, and we could experience and expect prolonged unpredictable reductions in supply and demand for certain of our products and services. Any extended decline in demand for our products and services or disruption in our ability to service our customers or business partners could have a material adverse effect on our revenue, results of operations, and cash flows. To the extent the COVID-19 pandemic or a similar public health threat has an impact on our business, results of operations, and financial condition, it is likely also to have the effect of heightening many of the other risks described in this Part I, Item 1A, “Risk Factors” section.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Conversely, we believe that the COVID-19 pandemic drove a shift in commerce from offline to online, including an increase in online shopping, which we believe contributed to the rapid growth we experienced in our commerce revenue for 2020 (which has since subsided). There can be no assurance that there will be a positive impact on our results of operations from any future health pandemic or epidemic or that, if there is, it would be sustainable or would otherwise be an indicator of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Financial and Accounting Matters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previously identified material weaknesses in our internal control over financial reporting that continue to exist. Failure to remediate the material weaknesses in a timely manner or maintain effective internal control over financial reporting may adversely impact our ability to produce timely and accurate financial statements or comply with applicable laws and regulations.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material weakness is a deficiency, or a combination of deficiencies, in internal control over financial reporting such that there is a reasonable possibility that a material misstatement of the financial statements will not be prevented or detected on a timely basis. We have identified material weaknesses in our internal control over financial reporting that we are currently working to remediate, which relate to: (1) a lack of formalized internal control and segregation of duties surrounding the financial statement close process, and (2) selection and development of control activities, including IT general controls. Our management notes a prior year material weakness related to ineffective upstream processes for gathering critical data to support a formalized assessment and review of certain technical accounting matters has been remediated as of, and for the year ended, December 31, 2023.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with the oversight of the audit committee of our board of directors, we continued to develop, refine, and execute upon plans to remediate the material weaknesses identified above. With respect to the financial statement close process, our management developed improvements for certain higher risk and material balance sheet reconciliation schedules and supporting financial calculations and analyses. However, certain business process controls were not designed or did not operate at the appropriate level of precision to prevent or detect a material misstatement, and conflicts with respect to segregation of duties were identified across our end-to-end financial statement close process. Our management will continue to implement remediation plans to define control procedures, enhance documentation, and enforce segregation of duties to ensure controls are adequately designed and operate sufficiently including, but not limited to: enhancing certain higher risk balance sheet reconciliation schedules, completeness and accuracy, and related review procedures; enhancing review procedures with respect to financial results and supporting financial calculations; designing processes and controls to adequately segregate job responsibilities; redesigning workflow approval routing and security permissions; and reducing reliance on manual controls.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 lack of formalized IT general controls in the area of change management and logical security controls over financial IT systems, our management began implementing remediation plans to address certain control deficiencies around system development and change management and IT security, including formalizing the processes and controls around security administration and implementing user access reviews for certain key financial systems. However, we did not have sufficient resources with technical expertise to centralize certain IT functions and to provide adequate IT oversight over financial systems. Our management intends to revisit its IT sustainment plan to further support and provide appropriate oversight over key financial systems, and intends to implement remediation plans, including, but not limited to: centralizing the change management and security administration function; implementing policies and procedures with respect to change management, system development, and application-level security; documenting test procedures and approvals relating to changes made to production; maintaining separate development, test, and production environments; formalizing controls around security administration; and implementing real-time monitoring.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improvements to our internal control environment are ongoing, including during the preparation of our financial statements as of the end of the period covered by this report. While we are working to remediate the material weaknesses as efficiently and effectively as possible, we cannot predict the success of our remediation plan. As such, full remediation could potentially extend beyond December 31, 2024. We are committed to continuing to improve our internal control processes and will continue to diligently review our financial reporting controls and procedures. We cannot assure you that we will not identify other material weaknesses in future periods. We have expended, and expect to continue to expend, significant time and resources with the aim of remediating our material weaknesses. If not remediated, these material weaknesses could result in material misstatements to our annual or interim consolidated financial statements that might not be prevented or detected on a timely basis, or in the delayed filing of required periodic reports.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assert that our internal control over financial reporting is effective, investors may lose confidence in the accuracy and completeness of our financial reports, the market price of our Class A common stock and warrants could be adversely affected, or we could become subject to litigation or investigations by Nasdaq, the SEC, or other regulatory authorities, which could require additional financial and management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6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have recorded significant impairment charges and could do so again in the future, which could have a material adverse impact on our results of operations.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shd w:fill="FFFFFF" w:val="clear"/>
        </w:rPr>
        <w:t xml:space="preserve">In 2022, we recorded material charges related to the impairment of our goodwill and certain long-lived assets. We had approximately $57.6 million of goodwill and $26.7 million of acquired intangible assets on our consolidated balance sheet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Under accounting principles generally accepted in the United States (i.e., U.S. GAAP), we are required to review our intangible assets, including goodwill, for impairment whenever events or changes in circumstances indicate that the carrying value of these assets may not be recoverable. We perform an assessment of goodwill for impairment annually as of October 1, as well as whenever events or changes in circumstances indicate the carrying amount of goodwill may not be recoverable. When testing goodwill for impairment, we first assess qualitative factors to determine whether it is more likely than not that the fair value of a reporting unit is less than its carrying value or we may determine to proceed directly to the quantitative impairment test.</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Circumstances which could trigger an assessment of goodwill for impairment include, but are not limited to: a significant decline in our stock price for a sustained period; significant negative industry or economic trends; our overall financial performance such as negative or declining cash flows or a decline in actual or planned revenue or earnings compared with actual and projected results of relevant prior periods; other relevant entity-specific events including changes in management, key personnel, strategy, or customers; and other events affecting our single reporting unit.</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shd w:fill="FFFFFF" w:val="clear"/>
        </w:rPr>
        <w:t>Additionally, we assess the impairment of intangible assets whenever events or changes in circumstances indicate that the carrying value of such assets may not be recoverable. Circumstances which could trigger such a review include, but are not limited to, the following: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w:t>
      </w:r>
      <w:r>
        <w:rPr>
          <w:color w:val="000000"/>
        </w:rPr>
        <w:t xml:space="preserve"> </w:t>
      </w:r>
      <w:r>
        <w:rPr>
          <w:rFonts w:ascii="Times New Roman;sans-serif" w:hAnsi="Times New Roman;sans-serif"/>
          <w:b w:val="false"/>
          <w:color w:val="000000"/>
          <w:sz w:val="20"/>
          <w:shd w:fill="FFFFFF" w:val="clear"/>
        </w:rPr>
        <w:t>forecast of continuing losses associated with the use of the asset; and current expectations that the asset will more likely than not be sold or disposed of significantly before the end of its estimated useful life.</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shd w:fill="FFFFFF" w:val="clear"/>
        </w:rPr>
        <w:t xml:space="preserve">During the fourth quarter of 2023, we experienced a further sustained decline in share price that pushed our market capitalization below the carrying value of our stockholders’ equity. We concluded the sustained decline in share price was a triggering event and performed a quantitative impairment assessment with respect to goodwill. The quantitative impairment assessment was performed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utilizing a combination of the income and market approaches. </w:t>
      </w:r>
      <w:r>
        <w:rPr>
          <w:rFonts w:ascii="Times New Roman;sans-serif" w:hAnsi="Times New Roman;sans-serif"/>
          <w:b w:val="false"/>
          <w:color w:val="000000"/>
          <w:sz w:val="20"/>
        </w:rPr>
        <w:t>We concluded that the fair value of our single reporting unit exceeded the carrying value, and as such, there was no impairment as of December 31, 2023. Refer to Note 8 to the consolidated financial statements included elsewhere within this Annual Report on Form 10-K and “Critical Accounting Policies and Estimates” within Part II, Item 7. “Management’s Discussion and Analysis of Financial Condition and Results of Operations” herein for additional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impairment analysis is sensitive to changes in key assumptions used in our analysis, such as expected future cash flows, the degree of volatility in equity and debt markets, and our stock price. If the assumptions used in our analysis are not realized, and if our fair value declines to below our carrying value, it is possible that an impairment charge may need to be recorded in the future. Under U.S. GAAP, if we determine goodwill or intangible assets are impaired, we will be required to write down these assets. Any write-down could have a negative effect on the consolidated financial statements and could impact our compliance with the equity requirement of the Nasdaq listing rules.</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our operations and we cannot be certain that this capital will be available on reasonable terms when required, or at all.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cash flows, together with cash and cash equivalents, may be insufficient to meet our working capital and capital expenditure requirements and, from time to time, we may need additional financing to operate or grow our business. Our ability to obtain additional financing, if and when required, will depend on investor and lender demand, our operating performance, and the condition of the capital markets and other factors, some of which are outside of our control. We do not know whether additional financing will be available to us on favorable terms when required, or at all. For example, the U.S. Federal Reserve began raising its benchmark rate in March 2022, increasing the rate by a total of 5.25% since the start of 2022. Such increases and any future increases may, among other things, reduce the availability and increase the costs of obtaining new variable rate debt and refinancing existing indebtedness, and adversely affect our financial condition and results of operations. In addition, inflation has increased as a result of, among other factors, supply constraints, federal stimulus funding, increases to household savings, and the sudden macroeconomic shift in activity levels arising from the loosening or removal of many government restrictions associated with COVID-19 and the broader availability of vaccines. Increased inflation has had, and may continue to have, an effect on interest rates. Increased interest rates may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adversely affect our ability to obtain, or the terms under which we can obtain, any potential additional funding. See Part II, Item 7. “Management’s Discussion and Analysis of Financial Condition and Results of Operations – Liquidity and Capital Resources” for more information. If we are unable to obtain adequate financing or financing on terms satisfactory to us when we require it, and our operating cash flows, together with cash and cash equivalents, are otherwise insufficient, our ability to continue to support the operation or growth of our business could be significantly impaired and our operating results may be harmed.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have the ability to raise the funds necessary to settle conversions of the Notes, repurchase the Notes upon a fundamental change or repay the Notes in cash at their maturity, and any future debt may contain limitations on our ability to pay cash upon conversion, redemption or repurchase of the Notes.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a Note has the right under the indenture governing the Notes to require us to repurchase, for cash, all or a portion of the Notes held by such holder (i) at any time on or after December 3, 2024 (i.e., the third anniversary of the issuance of the Notes),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In addition, a failure to comply with the provisions of the indenture governing our Notes could trigger an event of default under the indenture, which would allow the holders of Notes to accelerate the maturity of the Notes and require us to repay the Notes prior to their maturity. Further, if we experience a change of control on or after December 3, 2024, we would be required to offer to repurchase the Notes, for cash, at a repurchase price equal to 101% of the principal amount plus accrued and unpaid interest. Moreover, we will be required to repay the Notes, in cash, at their maturity, unless earlier converted, redeemed, or repurchased. We may not have enough available cash or be able to obtain financing at the time we are required to make repurchases of such Notes surrendered or pay cash with respect to such Notes being converted and our noteholders could experience a partial or total loss of their investment. Please see Part II, Item 7. “Management’s Discussion and Analysis of Financial Condition and 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repurchase, redeem or to pay cash upon conversion of Notes may be limited by law, regulatory authority, or agreements governing any future indebtedness. Our failure to repurchase the Notes at a time when the repurchase is required by the indenture or to pay cash upon conversion of such Notes as required by the indenture would constitute a default under the indenture. A default under the indenture or the fundamental change itself could also lead to a default under agreements governing any future indebtedness. If the payment of the related indebtedness were to be accelerated after any applicable notice or grace periods, we may not have sufficient funds to repay the interest on such indebtedness and repurchase the Notes or to pay cash upon conversion of the Notes.</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Restrictions imposed by the indenture governing the Notes could adversely affect our operating flexibility. We may need to seek amendments to the indenture in some cases in order to take actions, which are otherwise limited by the covenants contained therein, and our noteholders may not agree to such amendments.</w:t>
      </w:r>
    </w:p>
    <w:p>
      <w:pPr>
        <w:pStyle w:val="TextBody"/>
        <w:bidi w:val="0"/>
        <w:spacing w:before="0" w:after="0"/>
        <w:ind w:left="0" w:right="0" w:firstLine="72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Notes limits our ability to, among other things: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incur or guarantee certain additional debt;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make certain investments and acquisitions in certain circumstances;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pay dividends or repurchase capital stock;</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incur certain liens or permit them to exist;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enter into certain types of transactions with affiliates;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merge or consolidate with another company in certain circumstances;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transfer, sell or otherwise dispose of certain assets in certain circumstances.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provisions in the indenture governing the Notes may affect our ability to obtain future financing and to pursue attractive business opportunities and our flexibility in planning for, and reacting to, changes in business conditions. We may need to seek amendments to the indenture in some cases in order to take actions which are otherwise limited by the covenants therein. As a result, restrictions in our debt facilities could adversely affect our business, financial condition, and results of operations.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current or future debt obligations may restrict our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$158.8 million of indebtedness outstanding. As discussed in Note 23 to our consolidated financial statements included elsewhere in this Annual Report on Form 10-K, on February 21, 2024, we terminated our three-year $50.0 million revolving loan and standby letter of credit facility agreement (the “Revolving Credit Facility”). Furthermore, on March 7, 2024, we repaid approximately $30.9 million of the Notes. Consequently, we had approximately $119.1 million aggregate principal amount of Notes outstanding as of March 7, 2024.</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with respect to, or to refinance, the Notes depends on our financial condition and operating performance, which are subject to prevailing economic and competitive conditions and certain financial, business, and other factors beyond our control. If our cash flows and capital resources are insufficient to fund debt service obligations, we may be forced to reduce or delay investments and capital expenditures, sell assets, seek additional capital or restructure or refinance our indebtedness. Our ability to restructure or refinance our debt will depend on the condition of the capital markets and our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Notes may impact our financial results, result in the dilution of our stockholders, create downward pressure on the price of our Class A common stock, and restrict our ability to raise additional capital or take advantage of future opportunities.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Notes, mature on December 3, 2026, are convertible into shares of our Class A common stock at an initial conversion price of $12.50 and bear interest at a rate of 8.50% per annum, payable semi-annually. As of December 31, 2023, the Notes were convertible into approximately 12,000,000 shares of our Class A common stock and, as of March 7, 2024, the Notes were convertible into approximately 9,528,000 shares of our Class A common stock. The sale of the Notes may affect our earnings per share figures, as accounting procedures may require that we include in our calculation of earnings per share the number of shares of Class A common stock into which the Notes are convertible. If shares of Class A common stock are issued to the holders of the Notes upon conversion, there will be dilution to our stockholders and the market price of our Class A common stock may decrease due to the additional selling pressure in the market. Any downward pressure on the price of our Class A common stock caused by the sale, or potential sale, of shares issuable upon conversion of the Notes could also encourage short sales by third parties, creating additional selling pressure on our share price.</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warrants that are accounted for as liabilities and the changes in value of our warrants could have a material effect on the market price of our common stock or our financial results.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We account for the 9,842,500 warrants issued in connection with 890’s initial public offering (including the 9,583,333 public warrants sold as part of the units in the initial public offering and the 259,167 private placement warrants underlying the private placement units) in accordance with the guidance contained in Accounting Standards Codification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Such guidance provides that, because the warrants do not meet the criteria for equity treatment thereunder, each warrant must be recorded as a liability. Accordingly, we classify each warrant as a liability at its fair value. This liability is subject to re-measurement at each balance sheet date, with a resulting non-cash gain or loss related to the change in the fair value being recognized in earnings in the consolidated statements of operations. With each such remeasurement, the warrant liability is adjusted to fair value, with the change in fair value recognized in our consolidated statement of operations and therefore our reported earnings. As a result of the recurring fair value measurement, our consolidated financial statements and results of operations may fluctuate quarterly based on factors which are outside of our control. Due to the recurring fair value measurement, we recognize non-cash gains or losses on our warrants each reporting period and that the amount of such gains or losses has been, and could continue to be, material. The impact of changes in fair value on earnings may have an adverse effect on the market price of our Class A common stock. Refer to Note 5 to the consolidated financial statements included elsewhere in this Annual Report on Form 10-K for additional details.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accumulated $358.3 million and $13.3 million of U.S. federal and state net operating loss carryforwards (“NOLs”), respectively, available to reduce future taxable income, some of which will begin to expire in 2030 for U.S. federal tax purposes and 2025 for state tax purposes. It is possible that we will not generate sufficient taxable income in time to use our NOLs before their expiration, or at all. Under Section 382 and Section 383 of the Internal Revenue Code of 1986, as amended (the “Code”), if a corporation undergoes an “ownership change,” the corporation’s ability to use its pre-change NOLs and other tax attributes, including research and development tax credits, to offset its post-change income may be limited. In general, an “ownership change” will occur if there is a cumulative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our ownership by “five percent stockholders”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Tax Act, as amended by the Coronavirus Aid, Relief, and Economic Security Act (the “CARES Act”), U.S. federal NOLs arising in taxable years beginning after December 31, 2017 and before January 1, 2021 may be carried back to each of the five taxable years preceding the tax year of such loss, but NOLs arising in taxable years beginning after December 31, 2020 may not be carried back. Additionally, under the Tax Act, as modified by the CARES Act, U.S. federal NOLs from tax years that began after December 31, 2017 may offset no more than 80% of current taxable income annually for taxable years beginning after December 31, 2020, but the 80% limitation on the use of NOLs from tax years that began after December 31, 2017 does not apply for taxable income in tax years beginning before January 1, 2021. U.S. federal NOLs arising in tax years ending after December 31, 2017 can be carried forward indefinitely, but NOLs generated in tax years ending before January 1, 2018 will continue to have a two-year carryback and twenty-year carryforward period. As we maintain a full valuation allowance against our U.S. federal NOLs, these changes will not impact our balance sheet as of December 31, 2023.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2023.</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is also a risk that due to regulatory changes, such as suspensions on the use of NOLs and tax credits by certain jurisdictions, possibly with retroactive effect, or other unforeseen reasons, our existing NOLs and tax credits could expire or otherwise be unavailable to offset future income tax liabilities. A temporary suspension of the use of certain NOLs and tax credits has been enacted in Illinois, and other states may enact suspensions as well. For these reasons, we may not be able to realize a tax benefit from the use of our NOLs and tax credits.</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reported financial results may be adversely affected by changes in accounting principles generally accepted in the U.S.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U.S. (i.e., GAAP)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Securities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issue additional shares of Class A common stock (including upon the exercise of our warrants or via our at-the-market offering), which would increase the number of shares eligible for future resale in the public market and result in dilution to our stockholders.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We have previously entered into, and may in the future enter into, contractual arrangements with certain customers and other parties, and earnout arrangements in connection with acquisitions that, in each case, provide for the issuance of our warrants and/or common stock upon achievement of specified milestones. As of December 31, 2023, there were: outstanding public warrants originally issued by 890, but which we assumed in connection with the Business Combination, exercisable for an aggregate of 9,583,333 shares of our Class A common stock at an exercise price of $11.50 per share. In addition, there were 259,167 outstanding private placement warrants, also originally issued by 890 and assumed by us in connection with the Business Combination, and 33,333 outstanding working capital warrants, issued by us in connection with the Business Combination, exercisable for an aggregate of 292,500 shares of our Class A common stock at an exercise price of $11.50 per share. Further, as of December 31, 2023, the Notes were convertible into approximately 12,000,000 shares of our Class A common stock and, as of March 7, 2024, the Notes were convertible into approximately 9,528,000 shares of our Class A common stock. Moreover, we may issue a substantial number of additional shares of our Class A common stock (or securities convertible, exercisable or exchangeable for Class A common stock) in the future, whether pursuant to the at-the-market-offering described in</w:t>
      </w:r>
      <w:r>
        <w:rPr>
          <w:color w:val="000000"/>
          <w:shd w:fill="FFFFFF" w:val="clear"/>
        </w:rPr>
        <w:t xml:space="preserve"> </w:t>
      </w:r>
      <w:r>
        <w:rPr>
          <w:rFonts w:ascii="Times New Roman;sans-serif" w:hAnsi="Times New Roman;sans-serif"/>
          <w:b w:val="false"/>
          <w:color w:val="000000"/>
          <w:sz w:val="20"/>
          <w:shd w:fill="FFFFFF" w:val="clear"/>
        </w:rPr>
        <w:t xml:space="preserve">Part II, Item 7. “Management’s Discussion and Analysis of Financial Condition and Results of Operation” elsewhere in this Annual Report on Form 10-K, under which to which there were </w:t>
      </w:r>
      <w:r>
        <w:rPr>
          <w:rFonts w:ascii="Times New Roman;sans-serif" w:hAnsi="Times New Roman;sans-serif"/>
          <w:b w:val="false"/>
          <w:color w:val="000000"/>
          <w:sz w:val="20"/>
        </w:rPr>
        <w:t xml:space="preserve">11,196,473 shares reserved for issuance as of December 31, 2023, or in connection with contractual relationships with customers, acquisitions, pursuant to compensation arrangements or as a result of financing transactions. The issuance of additional shares of our Class A common stock as a result of any of the aforementioned transactions may result in dilution to the holders of our Class A common stock and an increase in the number of shares eligible for resale in the public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such shares in the public markets may adversely affect the market price of our Class A common stock, the impact of which is increased as the value of our stock price increases.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redeem unexpired warrants prior to their exercise at a time that is disadvantageous to the holder, thereby making the warrants worthless.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ability to redeem our outstanding public warrants at any time after they become exercisable and prior to their expiration, at a price of $0.01 per warrant, provided that the closing price of our Class A common stock equals or exceeds $18.00 per share for any 20 trading days within a 30-trading-day period ending on the third trading day prior to the date we give notice of redemption. If and when the public warrants become redeemable by us, we may exercise the redemption right even if we are unable to register or qualify the underlying securities for sale under all applicable state securities laws. Redemption of the outstanding public warrants could force holders to: (i) exercise the warrants and pay the exercise price therefor at a time when it may be disadvantageous to do so; (ii) sell the warrants at the then-current market price when the holder might otherwise wish to hold on to such warrants; or (iii) accept the nominal redemption price which, at the time the outstanding warrants are called for redemption, is likely to be substantially less than the market value of the warrants. None of the private placement warrants will be redeemable by us so long as they are held by their initial purchasers or their permitted transferees.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redeem warrants after they become exercisable for a number of shares of our Class A common stock determined based on the redemption date and the fair market value of Class A common stock. Any such redemption may have similar consequences to a cash redemption described above. In addition, such redemption may occur at a time when the warrants are “out-of-the-money,” in which case the holder would lose any potential embedded value from a subsequent increase in the value of our Class A common stock had the warrants remained outstanding.</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There can be no assurance that the warrants will be in the money at the time they become exercisable, and they may expire worthless.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for the outstanding public warrants is $11.50 per share of our Class A common stock. There can be no assurance that the warrants will be in the money following the time they become exercisable and prior to their expiration, and as such, the warrants may expire worthless.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market price of our securities is volatile, which may increase the risk of securities-related litigation, or cause the loss of part or all of holders’ investments.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our Class A common stock and public warrants is volatile. In addition, if we are unable to meet the expectations of investors or securities analysts, the market price of our Class A common stock and public warrants may decline. Some companies that have experienced volatility in the trading price of their securities have been the subject of securities litigation. Any securities litigation could result in substantial costs and divert our management’s attention and resources, which could adversely affect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 market for technology stocks or the stock market in general experiences a loss of investor confidence, the price of our Class A common stock and public warrants could decline for reasons unrelated to our business, financial performance, or growth. Stock prices of many digital native and technology companies have historically been highly volatile.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securities is volatile and subject to wide fluctuations in response to various factors, some of which are beyond our control. Fluctuations in the price of our securities could contribute to the loss of all or part of holders’ investments. Any of the factors listed below could have a material adverse effect on investments in our securities and our securities may trade at prices significantly below the price originally paid for them. In such circumstances, the trading price of our securities may not recover and may experience a further decline.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securities may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fluctuations in our financial results or the financial results of companies perceived to be similar to us;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market’s expectations about our operating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industries in which we and our customers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 of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operating results failing to meet the expectations of securities analysts or investors in a particular period;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level of coverage of our securities by securities analysts or changes in financial estimates and recommendations by securities analysts concerning us or the industry in which we operate in general;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ability to market new and enhanced products and services on a timely basis;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laws and regulations affecting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commencement of, or involvement in, litigation involving us;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additions and departures of key personnel;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volume of shares of our Class A common stock available for public sale;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major change in our board of directors;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sales of substantial amounts of our Class A common stock by our directors, executive officers or significant stockholders or the perception that such sales could occur;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and political conditions such as recessions, increased interest rates, inflationary pressures, fuel prices, international currency fluctuations, supply chain disruptions, labor shortage and disputes, acts of war, terrorism, and the direct and indirect results of the global COVID-19 pandemic on the markets and the broader global economy.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the Nasdaq specifically, have experienced extreme volatility that has often been unrelated to the operating performance of particular companies. As a result of this volatility, securityholders may not be able to sell their securities at or above the price at which they were acquired.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multi-class structure of our common stock has the effect of concentrating voting power with our Chief Executive Officer, which limits other stockholders’ ability to influence the outcome of important transactions, including a change in control.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voting together with our Class A common stock (with one vote per share) on all matters, the holders of our Class B common stock are entitled to 50 votes for each share of Class B common stock held of record by such holder on each matter on which such holders of such shares are entitled to vote, as set out in our second amended and restated certificate of incorporation. As of December 31, 2023, Jonah Peretti and his affiliates held approximately 96% of our Class B common stock and, as such, approximately 64% of the voting power of our common stock. Accordingly, Mr. Peretti is able to exert substantial influence over matters submitted to our stockholders for approval, including the election of directors and amendments of our organizational documents, and an approval right over any acquisition or liquidation of our company. Mr. Peretti may have interests that differ from those of the other stockholders and may vote in a way with which the other stockholders disagree and which may be adverse to their interests. This concentrated control may have the effect of delaying, preventing or deterring a change in control of BuzzFeed, could deprive our stockholders of an opportunity to receive a premium for their capital stock as part of a sale of BuzzFeed, and might ultimately affect the market price of shares of our Class A common stock.</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certificate of incorporation, as well as provisions of Delaware law, could impair a takeover attempt.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substantial influence that Mr. Peretti is able to exert over matters submitted to our stockholders for approval, including an approval right over any acquisition or liquidation of our company, our second amended and restated certificate of incorporation contains provisions that may discourage unsolicited takeover proposals that stockholders may consider to be in their best interests. We are also subject to anti-takeover provisions under Delaware law,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delay or prevent a change of control. Together these provisions may make the removal of management more difficult and may discourage transactions that otherwise could involve payment of a premium over prevailing market prices for our securities. These provisions include, among other things: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right of our board of directors to elect a director to fill a vacancy created by the expansion of our board of directors or the resignation, death or removal of a director in certain circumstances, which prevents stockholders from being able to fill vacancies on the board of directors;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requirement of supermajority voting (or if two-thirds of our board of directors approves, a majority) to amend some provisions in our second amended and restated certificate of incorporation and restated bylaws;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authorization of the issuance of “blank check” preferred stock that our board of directors could use to implement a stockholder rights plan;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only a majority of our board of directors will be authorized to call a special meeting of stockholders;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right of our board of directors to make, alter, or repeal our restated bylaws;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advance notice requirements for nominations for election to our board of directors or for proposing matters that can be acted upon by stockholders at annual stockholder meetings;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requirement that a meeting of stockholders may not be called by the stockholders, which may delay the ability of our stockholders to force consideration of a proposal or to take action, including the removal of directors.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hostile takeovers and changes in control of our company or changes in our board of directors or our management.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Delaware corporation, we are also subject to provisions of Delaware law, including Section 203 of the Delaware General Corporation Law (the “DGCL”), which prevents some stockholders holding more than 15% of our outstanding common stock from engaging in certain business combinations without approval of the holders of substantially all of our common stock. Any provision of our second amended and restated certificate of incorporation or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continued decline in the coverage of our securities by analysts or reports published by the analysts who do cover us, including projections in those reports that differ from our actual results, could adversely affect the price and trading volume of our common shares.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rely in part on the research and reports that industry or financial analysts publish about us, our business, our markets, and our competitors. Securities research analysts may establish and publish their own periodic projections for our company. These projections may vary widely and may not accurately predict the results we actually achieve. Our share price or trading volume may decline if our actual results do not match the projections of these securities research analysts. Similarly, if one or more of the analysts who write reports on us downgrades our stock or publishes inaccurate or unfavorable research about our business, our share price or trading volume could decline. Currently, we are covered by just one analyst. If this analyst ceases coverage of us or fails to publish reports on us regularly, the market price and trading volume for our common shares could be adversely affected.</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fail to comply with the continued listing requirements of Nasdaq, our common stock may be delisted and the price of our common stock and our ability to access the capital markets could be negatively impacted.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is currently listed for trading on The Nasdaq Capital Market. We must satisfy Nasdaq’s continued listing requirements, including, among other things, a minimum closing bid price of $1.00 per share, or risk delisting. On May 31, 2023, we received a letter from Nasdaq’s Listing Qualifications Department notifying us that,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previous 30 consecutive business days, the bid price for our Class A common stock had closed below the minimum $1.00 per share requirement for continued listing on The Nasdaq Global Market. We did not regain compliance during the initial 180-day period provided to us and, on November 28, 2023, Nasdaq approved a second 180-day period to regain compliance with the minimum bid price requirement in conjunction with a transfer to The Nasdaq Capital Market. As such, the bid price for our Class A common stock needs to close at $1.00 or more for at least 10 consecutive business days prior to May 28, 2024 (i.e., starting on May 13, 2024). If we do not regain compliance with the minimum bid price requirement by May 28, 2024, Nasdaq will notify us that our securities are subject to delisting. In the event of such a notification, we may appeal the Listing Qualifications Department’s determination to delist our securities before the Nasdaq Listing Qualifications Panel. However, there can be no assurance that, if we receive a delisting notice and appeal the delisting determination, such an appeal would be successful. Refer to Note 16 to the consolidated financial statements included elsewhere within this Annual Report on Form 10-K for additional information.</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shd w:fill="FFFFFF" w:val="clear"/>
        </w:rPr>
        <w:t xml:space="preserve">A delisting of our common stock from Nasdaq would materially reduce the liquidity of our common stock and result in a corresponding material reduction in the price of our common stock. Any such event could make it more difficult to dispose of, or obtain accurate quotations for the price of, our common stock. It could also lead to the failure of our securities to be covered by securities analysts or the reduction in our coverage by the news media, which could cause the price of our common stock to decline further. In addition, delisting could harm our ability to raise capital through alternative financing sources on terms acceptable to us, or at all, and may result in the potential loss of confidence by investors, customers, business partners and employees and fewer business development opportunities. Further, under the indenture governing the Notes, the failure of our Class A common stock to be listed on any national securities exchange or quoted on Nasdaq would constitute a fundamental change, giving the </w:t>
      </w:r>
      <w:r>
        <w:rPr>
          <w:rFonts w:ascii="Times New Roman;sans-serif" w:hAnsi="Times New Roman;sans-serif"/>
          <w:b w:val="false"/>
          <w:color w:val="000000"/>
          <w:sz w:val="20"/>
        </w:rPr>
        <w:t>holders of the Notes the right to require us to repurchase, for cash, all or a portion of their Notes at a repurchase price equal to 101% of the principal amount plus accrued and unpaid interest.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Unless our common stock continues to be listed on a national securities exchange or quoted on Nasdaq, it will become subject to the so-called “penny stock” rules that impose restrictive sales practice requirements.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shd w:fill="FFFFFF" w:val="clear"/>
        </w:rPr>
        <w:t xml:space="preserve">In addition to the foregoing, if our common stock is delisted from Nasdaq and is, instead, traded on the over-the-counter market, the application of the “penny stock” rules could adversely affect the market price of our common stock and increase the transaction costs to sell those shares. The </w:t>
      </w:r>
      <w:r>
        <w:rPr>
          <w:rFonts w:ascii="Times New Roman;sans-serif" w:hAnsi="Times New Roman;sans-serif"/>
          <w:b w:val="false"/>
          <w:color w:val="000000"/>
          <w:sz w:val="20"/>
        </w:rPr>
        <w:t>SEC</w:t>
      </w:r>
      <w:r>
        <w:rPr>
          <w:color w:val="000000"/>
          <w:shd w:fill="FFFFFF" w:val="clear"/>
        </w:rPr>
        <w:t xml:space="preserve"> </w:t>
      </w:r>
      <w:r>
        <w:rPr>
          <w:rFonts w:ascii="Times New Roman;sans-serif" w:hAnsi="Times New Roman;sans-serif"/>
          <w:b w:val="false"/>
          <w:color w:val="000000"/>
          <w:sz w:val="20"/>
          <w:shd w:fill="FFFFFF" w:val="clear"/>
        </w:rPr>
        <w:t>has adopted regulations which generally define a “penny stock” as any equity security not listed on a national securities exchange or quoted on Nasdaq that has a market price of less than $5.00 per share, subject to certain exceptions. If our common stock is delisted from Nasdaq and is traded on the over-the-counter market at a price of less than $5.00 per share, our common stock would be considered a penny stock. Unless otherwise exempted, the SEC’s penny stock rules require a broker-dealer, before a transaction in a penny stock, to deliver a standardized risk disclosure document that provides information about penny stock and the risks in the penny stock market, the current bid and offer quotations for the penny stock, the compensation of the broker-dealer and the salesperson in the transaction, and monthly account statements showing the market value of each penny stock held in the customer’s account. Further, prior to a transaction in a penny stock, the penny stock rules require the broker-dealer to provide a written determination that the penny stock is a suitable investment for the purchaser and receive the purchaser’s agreement to the transaction. If applicable in the future, the penny stock rules may restrict the ability of brokers-dealers to sell our common stock and may affect the ability of investors to sell their shares, until our common stock is no longer a penny stock.</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Further, the National Securities Markets Improvement Act of 1996, which is a federal statute, prevents or preempts the states from regulating the sale of certain securities, which are referred to as “covered securities.” If our Class A common stock fails </w:t>
      </w:r>
      <w:r>
        <w:rPr>
          <w:rFonts w:ascii="Times New Roman;sans-serif" w:hAnsi="Times New Roman;sans-serif"/>
          <w:b w:val="false"/>
          <w:color w:val="000000"/>
          <w:sz w:val="20"/>
          <w:shd w:fill="FFFFFF" w:val="clear"/>
        </w:rPr>
        <w:t>to be listed on any national securities exchange or quoted on Nasdaq</w:t>
      </w:r>
      <w:r>
        <w:rPr>
          <w:rFonts w:ascii="Times New Roman;sans-serif" w:hAnsi="Times New Roman;sans-serif"/>
          <w:b w:val="false"/>
          <w:color w:val="000000"/>
          <w:sz w:val="20"/>
        </w:rPr>
        <w:t>, such securities would not qualify as covered securities and we would be subject to regulation in each state in which we offer our securities, because states are not preempted from regulating the sale of securities that are not covered securities.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If our existing shareholders sell, or indicate an intent to sell, amounts of our Class A common stock in the public market, the trading price of our ordinary shares could decline.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 2022, an aggregate of (1) 102,688,447 shares of our Class A common stock (including 2,776,073 shares of our Class A common stock subject to outstanding equity awards), (2) 12,019,830 shares of our Class B common stock, and (3) 6,478,031 shares of our Class C common stock held by our stockholders became available for sale without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restriction, other than applicable securities laws. In addition, on December 3, 2022, an aggregate of 7,187,500 shares of our Class A common stock held by 200 Park Avenue Partners, LLC, PA 2 Co-Investment LLC, Craig-Hallum Capital Group LLC and certain affiliated individuals became available for sale, subject to applicable securities laws. Since the beginning of 2023, John Johnson III and Johnson BF, LLC, who collectively owned 4% of our Class A common stock as of February 28, 2023, sold approximately 14% of their holdings. Additionally, General Atlantic BF L.P., which owned approximately 6% of our Class A common stock as of February 28, 2023, sold all of its holdings during 2023.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pursuant to the 2021 Equity Incentive Plan, we grant stock-based awards to our officers, employees, directors, and consultants. Refer to Note 11 to the consolidated financial statements included elsewhere within this Annual Report on Form 10-K for additional details on outstanding awards as of December 31, 2023. Any significant discretionary sales by the recipients of equity awards, including sales of shares received upon the settlement of restricted stock units or exercise of options (or sell-to-cover transactions effected to address any associated tax liabilities or exercise prices of such options), or sell-to-cover transactions effected to address any associated tax liabilities in connection with the settlement of significant amounts restricted stock units at one time, would be very dilutive to existing stockholders. Any such sales may also result in trading volatility and reduce the market price of our Class A common stock.</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In addition, in the future, we may sell additional shares of Class A common stock, including through our at-the-market-offering described in</w:t>
      </w:r>
      <w:r>
        <w:rPr>
          <w:color w:val="000000"/>
          <w:shd w:fill="FFFFFF" w:val="clear"/>
        </w:rPr>
        <w:t xml:space="preserve"> </w:t>
      </w:r>
      <w:r>
        <w:rPr>
          <w:rFonts w:ascii="Times New Roman;sans-serif" w:hAnsi="Times New Roman;sans-serif"/>
          <w:b w:val="false"/>
          <w:color w:val="000000"/>
          <w:sz w:val="20"/>
          <w:shd w:fill="FFFFFF" w:val="clear"/>
        </w:rPr>
        <w:t>Part II, Item 7. “Management’s Discussion and Analysis of Financial Condition and Results of Operation” elsewhere in this Annual Report on Form 10-K</w:t>
      </w:r>
      <w:r>
        <w:rPr>
          <w:rFonts w:ascii="Times New Roman;sans-serif" w:hAnsi="Times New Roman;sans-serif"/>
          <w:b w:val="false"/>
          <w:color w:val="000000"/>
          <w:sz w:val="20"/>
        </w:rPr>
        <w:t>, which could cause the market price of our Class A common stock to decline. We may also issue preferred shares or other equity ranking senior to our Class A common stock. Any such preferred shares will have, and those other securities will generally have, priority upon liquidation. Such securities also may be governed by an instrument containing covenants restricting our operating flexibility. Additionally, any convertible or exchangeable securities that we issue in the future may have rights, preferences and privileges more favorable than those of our Class A common stock. Because our decision to issue equity in the future will depend on market conditions and other factors beyond our control, we cannot predict or estimate the amount, timing, nature or success of our future capital-raising efforts. As a result, future capital-raising efforts may reduce the market price of our Class A common stock and be dilutive to existing shareholders.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certificate of incorporation designates the Court of Chancery of the State of Delaware as the sole and exclusive forum for certain types of actions and proceedings, and the federal district courts as the sole and exclusive forum for other types of actions and proceedings, in each case, that may be initiated by our stockholders, which could limit our stockholders’ ability to obtain what such stockholders believe to be a favorable judicial forum for disputes with us or our directors, officers or other employees.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second amended and restated certificate of incorporation provides that, unless we consent in writing to the selection of an alternative forum, any (i) derivative action or proceeding brought on behalf of us; (ii) action or proceeding asserting a claim of breach of a fiduciary duty owed by any current or former director, officer, stockholder, employee or agent of ours to us or our stockholders or any claim for aiding and abetting such alleged breach; (iii) action or proceeding asserting a claim against us or any current or former director, officer, stockholder, employee or agent of ours arising pursuant to any provision of the DGCL or our second amended and restated certificate of incorporation or restated bylaws or as to which the DGCL confers jurisdiction on the Court of Chancery of the State of Delaware; (iv) action or proceeding to interpret, apply, enforce or determine the validity of our second amended and restated certificate of incorporation or restated bylaws; or (v) action or proceeding asserting a claim against us or any current or former director, officer, stockholder, employee or agent of ours governed by the internal affairs doctrine, will, to the fullest extent permitted by law, be exclusively brought in the Court of Chancery of the State of Delaware or, if such court does not have jurisdiction thereof, and state or federal court located within the State of Delaware. Unless we consent in writing to the selection of an alternative forum, to the fullest extent permitted by law, the federal district courts of the U.S. will be the exclusive forum for the resolution of any action or proceeding asserting a cause of action arising under the Securities Act or the Exchange Act. Any person or entity purchasing or otherwise acquiring an interest in any shares of our capital stock will be deemed to have notice of and to have consented to the forum provisions in our second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We note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Section 27 of the Exchange Act creates exclusive federal jurisdiction over all claims brought to enforce any duty or liability created by the Exchange Act or the rules and regulations thereunder.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Alternatively, if a court were to find these provisions of our second amended and restated certificate of incorporation invalid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our board of directors.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within the meaning of the Securities Act, as modified by the Jumpstart Our Business Startups Act (the “JOBS Act”), and we are taking, and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until December 31, 2026,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a “controlled company” within the meaning of Nasdaq rules and, as a result, qualify for exemptions from certain corporate governance requirements.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considered a “controlled company” under the rules of Nasdaq. Controlled companies are exempt from certain Nasdaq corporate governance rules including the requirements that (i) a majority of the board of directors consist of “independent” directors under the listing standards of Nasdaq, (ii) director nominees be selected or recommended to the board of directors by independent directors, and (iii) we have a compensation committee composed entirely of independent directors. Although we are eligible to use some or all these exemptions, we are not currently availing ourselves of any of these exemptions. However, if we are to use some or all of these exemptions in the future, our stockholders may not have the same protections afforded to stockholders of companies that are subject to all of the corporate governance requirements of Nasdaq.</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complex and evolving U.S. and foreign laws and regulations. These laws and regulations are subject to change and uncertain interpretation, and could result in claims, changes to our business practices, monetary penalties, temporary or permanent restraining orders and injunctions, increased cost of operations or declines in traffic growth and engagement with our brands and content, or otherwise harm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variety of laws and regulations in the U.S. and abroad that involve matters central to our business, including but not limited to contracts, securities, privacy, rights of publicity, data protection, content regulation, advertising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marketing, intellectual property (copyright, trademark and patent), libel and defamation, labor and employment, bribery and corruption, economic and trade sanctions, competition, protection of minors, consumer protection, taxation, and regulation of controlled substances. Many of these laws and regulations are subject to constant legislative or administrative review and modification. Additionally, many of these laws and regulations are still being tested in courts and could be interpreted or applied in ways that could harm our business, particularly in the rapidly evolving industry in which we operate. The introduction of new products or services may subject us to additional laws and regulations. In addition, foreign data protection, privacy, libel and defamation, consumer protection, content regulation, and other laws and regulations are often more restrictive than those in the U.S. A number of proposals are pending before federal, state, and foreign legislative and regulatory bodies that could significantly affect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government, including the FTC and the Department of Commerce, has announced in past years that it is reviewing the need for greater regulation for the processing of information concerning user behavior on the Internet, including regulation aimed at restricting certain online tracking and targeted advertising practices. There have been a number of legislative proposals in the U.S., at both the federal and state level, that would impose new obligations in areas such as privacy, consent and data protection. There have also been various congressional and executive efforts to eliminate or modify Section 230 of the Communications Act of 1934, enacted as part of the Communications Decency Act of 1996. President Biden and many members of Congress from both parties support reform or repeal of Section 230, so the possibility of congressional action remains. If Congress revises or repeals Section 230 or the Federal Communication Commission adopts new rules, we may no longer be afforded the same level of protection offered by current Section 230. Additionally, recent amendments to U.S. patent laws may affect the ability of companies, including us, to defend against claims of patent infringement.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seek to collect only limited personal data from those who use our website and applications. We may experience additional pressure to expand our collection of personal data in order to comply with new and additional regulatory demands or we may independently decide to do so. Having additional personal data may subject us to additional regulation. Further, it is difficult to predict how existing laws and regulations will be applied to our business and the new laws and regulations to which we may become subject, and it is possible that they may be interpreted and applied in a manner that is inconsistent with our practices. These existing and proposed laws and regulations can be costly to comply with and can delay or impede the development of new content, products and services, result in negative publicity, significantly increase our operating costs, require significant time and attention of management and technical personnel, and subject us to inquiries or investigations, claims or other remedies, including fines or demands that we modify or cease existing business practices.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operations in non-U.S. jurisdictions are in many cases subject to the laws of the jurisdictions in which we operate rather than U.S. law. Laws in some jurisdictions differ in significant respects from those in the U.S. These differences can affect our ability to react to changes in our business, and our rights or ability to enforce rights may be different than would be expected under U.S. law. Moreover, enforcement of laws in some overseas jurisdictions can be inconsistent and unpredictable, which can affect both our ability to enforce our rights and to undertake activities that we believe are beneficial to our business. In addition, the business and political climate in some jurisdictions may encourage corruption, which could reduce our ability to compete successfully in those jurisdictions while remaining in compliance with local laws or U.S. anti-corruption laws applicable to our businesses. As a result, our ability to generate revenue and our expenses in non-U.S. jurisdictions may differ from what would be expected if U.S. law governed these operations.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shd w:fill="FFFFFF" w:val="clear"/>
        </w:rPr>
        <w:t xml:space="preserve">Legacy BuzzFeed and Complex Networks derived less than 0.2% of their combined revenues for the year ended December 31, 2021, and no revenue for the years ended December 31, 2023 or 2022, from advertisements relating to cannabis, which may be considered a controlled substance in certain jurisdictions, or cannabis-related products. </w:t>
      </w:r>
      <w:r>
        <w:rPr>
          <w:rFonts w:ascii="Times New Roman;sans-serif" w:hAnsi="Times New Roman;sans-serif"/>
          <w:b w:val="false"/>
          <w:color w:val="000000"/>
          <w:sz w:val="20"/>
        </w:rPr>
        <w:t>Controlled substances are subject to state, federal, and foreign laws and regulations regarding their manufacture, use, sale, importation, exportation, and distribution. Among other things, certain controlled substances, including marijuana, are regulated under the federal Controlled Substances Act of 1970 (the “CSA”) and implementing regulations of the U.S. Drug Enforcement Administration (the “DEA”). The cannabis-related advertisements on both Legacy BuzzFeed’s and Complex Networks’ platforms were in compliance with state and local laws. However, certain varieties of cannabis continue to be controlled substances under the CSA and Legacy BuzzFeed and Complex Networks may not have been in compliance with federal law with respect to such advertisements. Our current advertising practices across all platforms do not permit advertisements in the U.S. relating to federally prohibited cannabis-related activities (this does not include advertisements relating to hemp derived products, including Cannabidiol (CBD), which are permitted under federal law) on our platforms. However, if the historical activities of Legacy BuzzFeed and Complex Networks were to become the subject of enforcement actions and sanctions from the DEA or otherwise arising under federal law, such actions and sanctions may have a negative effect on our business, financial condition, results of operations or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new laws and regulations, changes in existing laws and regulations or the interpretation of them, our introduction of new content, features, and services, or an extension of our business into new areas, could increase our future compliance costs, make our content, features, and services less attractive to our traffic or advertisers, or cause us to change or limit our business practices. We may incur substantial expenses to comply with laws and regulations or defend against a claim that we have not complied with them. Further, any failure on our part to comply with any relevant laws or regulations may subject us to significant civil or criminal liabilities, penalties, and negative publicity.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From time to time, we may be subject to legal proceedings, regulatory disputes, and governmental investigations that could cause us to incur significant expenses, divert our management’s attention, and materially harm our business, financial condition, and operating results.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claims, lawsuits (including class actions), government investigations, arbitrations and other proceedings involving competition and antitrust, advertising and marketing, intellectual property (including copyright, trademark and patent), privacy, defamation, libel and slander, consumer protection, securities, tax, labor and employment, bribery and corruption, economic and trade sanctions, commercial disputes, and other matters that could adversely affect our business operations and financial condition. The foregoing list is non-exhaustive. We have faced and will continue to face claims relating to our content that is published or made available through our websites and applications, or through third-party platforms or services. In particular, the nature of our business exposes us to claims related to defamation, intellectual property rights (including copyright, trademark and patent), rights of publicity and privacy and FTC regulation. The outcome of any legal proceeding, regardless of its merits, is inherently uncertain. If we do not prevail in litigation, we could incur substantial liabilities, some or all of which may not be covered by our insurance. We may also determine in certain instances that a settlement may be a more cost-effective and efficient resolution for a dispute. Further, pending or future legal proceedings could result in a diversion of our management’s attention and resources and reputational harm, and we may be required to incur significant expenses defending against these claims or pursuing claims against third parties to protect our rights.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Where risk of loss is probable and we can make a reasonable estimate of the liability relating to pending litigation, we record a related liability. As additional information becomes available, we assess the potential liability and revise estimates as appropriate. However, because of uncertainties relating to litigation, the amount of our estimates could be wrong as determining reserves for pending legal proceedings is a complex, fact-intensive process that is subject to judgment calls. The results of legal and regulatory proceedings cannot be predicted with certainty. There can be no assurance that our expectations will prove correct, and even if these matters are resolved in our favor or without significant cash settlements, these matters, and the time and resources necessary to litigate or resolve them, could harm our business. If we incur costs or liability as a result of these events occurring, our business, financial condition and operating results could be adversely affected. Liability may also impact our insurance premiums as well as our ability to obtain or maintain insurance coverage. Further, any adverse determination related to legal proceedings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intellectual property rights are valuable, and any inability to protect, or challenges to, them could reduce the value of our content, services, and brand.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trademarks, logos, trade secrets, copyrights, and other intellectual property rights are important assets for us. We rely on, and expect to continue to rely on, a combination of work for hire, consulting, assignment, license and confidentiality agreements with our employees, consultants, and third parties with whom we have relationships, as well as trademark, trade dress, domain name, copyright, trade secret, and patent laws, to protect our brand and other intellectual property rights. However, these agreements may be breached which could impair or destroy the value of this intellectual property to us. Moreover, various other events outside of our control pose a threat to our intellectual property rights. For example, we may fail to obtain effective intellectual property protection, or effective intellectual property protection may not be available in every country in which our content and brands are utilized in commerce. Also, the efforts that we have taken to protect our intellectual property rights may not be sufficient or effective, and any of our intellectual property rights may be challenged, which could result in them being narrowed in scope or declared invalid or unenforceable. There can be no assurance our intellectual property rights will be sufficient to protect against others offering products or content that are substantially similar to ours and compete with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pursuing registration of trademarks and domain names in the U.S. and in certain jurisdictions outside of the U.S. Effective protection of trademarks and domain names is expensive and difficult to maintain, both in terms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application and registration costs as well as the costs of defending, maintaining and enforcing those rights. We may be required to protect our rights in an increasing number of countries, a process that is expensive and may not be successful.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be unable to obtain patent or trademark protection for our technologies and brands, and our existing trademarks, and any patents or trademarks that may be issued in the future, may not provide us with competitive advantages or distinguish our products and content from those of our competitors. In addition, any patents and trademarks may be contested, circumvented, or found unenforceable or invalid, and we may not be able to prevent third parties from infringing, diluting or otherwise violating them.</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impairments of our intellectual property rights, and limitations on our ability to assert our intellectual property rights against others, could harm our business and our ability to compete.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become party to intellectual property rights claims that are expensive and time consuming to defend, and, if resolved adversely, could have a significant impact on our business, financial condition or operating results.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receive claims from third parties that allege that we have infringed upon their intellectual property rights. Further, we may introduce new products and services (such as those related to AI), including in areas where we currently do not operate, which could increase our exposure to patent and other intellectual property claims from third parties, including, but not limited to, competitors and non-practicing entities. In addition, some of our agreements with advertisers, platform partners, data partners, social media platforms, and licensees require us to indemnify them for certain intellectual property claims, which could require us to incur considerable costs or pay significant damages in the event of an adverse ruling. Advertisers and platform partners may also discontinue use of our products and services as a result of injunctions or otherwise, which could result in loss of revenue and adversely impact our business.</w:t>
      </w:r>
    </w:p>
    <w:p>
      <w:pPr>
        <w:pStyle w:val="TextBody"/>
        <w:bidi w:val="0"/>
        <w:spacing w:lineRule="auto" w:line="276" w:before="240" w:after="283"/>
        <w:jc w:val="both"/>
        <w:rPr/>
      </w:pPr>
      <w:r>
        <w:rPr>
          <w:rFonts w:ascii="Times New Roman;sans-serif" w:hAnsi="Times New Roman;sans-serif"/>
          <w:b/>
          <w:i/>
          <w:color w:val="000000"/>
          <w:sz w:val="20"/>
        </w:rPr>
        <w:t>Failure to comply with laws and regulations with respect to contracts, securities, privacy, data protection, content regulation, intellectual property, consumer protection, e-commerce, marketing, advertising, messaging, rights of publicity, libel and defamation, health and safety, employment and labor, bribery and corruption, economic and trade sanctions, product liability, accessibility, competition, and taxation</w:t>
      </w:r>
      <w:r>
        <w:rPr>
          <w:color w:val="000000"/>
        </w:rPr>
        <w:t xml:space="preserve"> </w:t>
      </w:r>
      <w:r>
        <w:rPr>
          <w:rFonts w:ascii="Times New Roman;sans-serif" w:hAnsi="Times New Roman;sans-serif"/>
          <w:b/>
          <w:i/>
          <w:color w:val="000000"/>
          <w:sz w:val="20"/>
        </w:rPr>
        <w:t>could adversely affect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various laws and regulations of local and foreign jurisdictions with respect to privacy and the collection and processing of personal data and information, as well as laws and regulations with respect to consumer marketing practices.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Various federal and state laws and regulations, as well as the laws of foreign jurisdictions, govern the processing (including the collection, use, retention and sharing) and security of the data we receive from and about individuals. Failure to protect confidential data, provide individuals with adequate notice of our privacy policies or obtain required consent, for example, could subject us to liabilities imposed by these jurisdictions. Existing privacy-related laws and regulations are evolving and subject to potentially differing interpretations, and various federal and state legislative and regulatory bodies, as well as foreign legislative and regulatory bodies, may expand current or enact new laws regarding privacy and data protection. We are also subject to the Americans with Disabilities Act, which includes requirements with respect to website accessibility. Additionally, we are subject to the CAN-SPAM Act, the Telephone Consumer Protection Act, and the Video Privacy Protection Act, each of which may place restrictions on how we operate in a manner that adversely affects our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Existing and newly adopted laws and regulations with respect to privacy and the collection and processing of personal data and information, or with respect to consumer marketing practices, or new interpretations of such existing laws and regulations, have imposed and may continue to impose obligations that may affect our business, require us to incur increased compliance costs and cause us to further adjust our advertising or marketing practices. Any failure, or perceived failure, by us or the third parties upon which we rely to comply with the laws and regulations relating to privacy, data protection, or consumer marketing practices that govern our business operations, as well as any failure, or perceived failure, by us or the third parties upon which we rely to comply with our own posted policies relating to such matters, could result in claims against us by governmental entities or others, negative publicity and a loss of confidence in us by our traffic and advertisers. Any of these potential consequences could adversely affect our business and 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also subject to various laws and regulations of local and foreign jurisdictions with respect to contracts, securities, content regulation, intellectual property, consumer protection, e-commerce, marketing, advertising, messaging, rights of publicity, libel and defamation, health and safety, employment and labor, bribery and corruption, economic and trade sanctions, product liability, accessibility, competition, and taxation. Any failure, or perceived failure, by us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upon which we rely to comply with the laws and regulations relating to any of these matters, as well as any failure, or perceived failure, by us or the third parties upon which we rely to comply with our own posted policies relating to such matters, could result in claims against us by governmental entities or others, negative publicity and a loss of confidence in us by our traffic and advertisers. Any of these potential consequences could adversely affect our business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changing laws and regulations regarding regulatory matters, corporate governance and public disclosure that have increased our costs and the risk of non-compliance.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rules and regulations by various governing bodies, including, but not limited to, the SEC, which are charged with the protection of investors and the oversight of companies whose securities are publicly traded, and to new and evolving regulatory measures under applicable law. For example, the SEC has recently adopted new rules with respect to cybersecurity disclosure, which we are in the process of implementing. Our efforts to comply with new and changing laws and regulations have resulted in increased general and administrative expenses and a diversion of management time and attention.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Compliance obligations under the Sarbanes-Oxley Act may require substantial financial and management resources.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publicly-traded company, we are required to comply with Section 404 of the Sarbanes-Oxley Act, which requires our management to annually report on the effectiveness of our internal control over financial reporting. This annual certification and the maintenance of the Sarbanes-Oxley compliance program requires ongoing and significant effort from key stakeholders across our business operations. In addition, we currently disclose material weaknesses in our control environment, which require increased attention from our management and financial investment to remediate. While we are currently considered an emerging growth company, which provides certain exemptions from Sarbanes-Oxley provisions, we will be required to comply with incremental regulatory requirements upon losing our emerging growth company status. This includes attestation over the effectiveness of our internal control over financial reporting by our independent registered public accounting firm. As a result, our management may not be able to effectively and timely implement controls and procedures that adequately meet the regulatory compliance and reporting requirements that are applicable to us. If we are not able to remediate our material weaknesses and maintain an effective control environment, including any additional requirements once we are no longer an emerging growth company, we may be subjected to adverse regulatory consequences that could harm investor confidence and the market price of our securities.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Some of our employees are unionized, and our business and results of operations could be adversely affected if labor agreements were to further restrict our ability to maximize the efficiency of our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approximately 10.5% of our employees were unionized, with certain employees associated with BuzzFeed Canada, Inc. in Canada belonging to the Canadian Media Guild, and certain employees associated with HuffPost in the U.S. belonging to the Writers Guild of America, East. As a result, we are required to negotiate the wage, benefits and other terms and conditions of employment with these employees collectively. Our results could be adversely affected if future labor negotiations or contracts were to further restrict our ability to maximize the efficiency of our operations, or if a larger percentage of our workforce were to be unionized. If we are unable to negotiate labor contracts on reasonable terms, or if we were to experience labor unrest or other business interruptions in connection with labor negotiations or otherwise, our ability to produce and deliver our products could be impaired. In addition, our ability to make adjustments to control compensation and benefits costs, change our strategy or otherwise adapt to changing business needs may be limited by the terms and duration of our collective bargaining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556"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 Management and Strategy and Governance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protecting the security and integrity of our systems, networks, databases and applications and, as a result, have implemented processes designed to prevent, assess, identify, and manage material risks associated with cybersecurity threats. Cybersecurity and risks related to our IT are an important focus of our board of directors’ risk oversight. Our board of directors, with assistance from its audit committee, oversees our cybersecurity risk assessment and response program. The audit committee receives reports at least quarterly from executive management, including our Vice President of IT, on the identification and status of cybersecurity incidents, resolution, recovery and post incident management.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Managing Material Risks and Integrated Overall Risk Management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a risk-based approach to identify and assess the cybersecurity threats that could affect our business and information systems. Our cybersecurity risk assessment process evaluates our maturity across key areas of cybersecurity, and incorporates industry standard framework considerations, including the National Institute of Standards and Technology. The cybersecurity management program includes evaluation of our technical, administrative, and end-point security, including encryption, firewalls, security scans and anti-virus systems and logical security controls. We continue to promote a company-wide culture of cybersecurity risk management awareness and cybersecurity considerations are integrated in our decision-making processes. We have an experienced IT team led by our Vice President of IT, who has more than 20 years of industry experience. Our Vice President of IT reports directly to the executive team and works closely with our management team, and where necessary, engages external experts to evaluate and address cybersecurity risks in alignment with our business objectives and operational needs. Our Vice President of IT provides regular updates on cybersecurity to the audit committee of our board of directors.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Engagement of Third Parties on Risk Management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engage with external experts, including cybersecurity consultants, to support our cybersecurity risk assessment and response program. These partnerships enable us to leverage specialized knowledge and insights. Our collaboration with these third parties includes biennial cybersecurity maturity assessments and consultation on security enhancements.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Risks from Cybersecurity Threats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encountered risks from cybersecurity threats, including as a result of any previous cybersecurity incidents, that have materially affected, or are reasonably likely to materially affect, us, including our business strategy, results of operations or financial condition. From time to time, we experience cybersecurity events that require investigation. For additional information regarding whether any risks from cybersecurity threats, including as a result of any cybersecurity incidents that are reasonably likely to materially affect our company, including our business strategy, results of operations, or financial condition, please refer to Item 1A, “Risk Factors,”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in New York City, New York, where we occupy facilities totaling approximately 107,500 square feet under a lease that expires in 2025. We use these facilities for administration, finance, legal, human resources, IT, sales and marketing, engineering, technology, production, and development. In addition to our corporate headquarters, we also lease other facilities in New York, California, Canada, India, Japan, Mexico and the U.K. In February 2024, we entered into a space sharing license agreement whereby we licensed approximately 11,500 square feet (not including shared spaces) to the purchaser of certain assets of Complex Networks in connection with the Disposition. Refer to Notes 22 and 23 to the consolidated financial statements included elsewhere in this Annual Report on Form 10-K for further details on this space sharing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evaluating our needs for office space due to our shift to a more flexible work model and may determine to sublease certain of our offices. We believe that our facilities are adequate to meet our needs for the immediate future and that suitable additional space will be available to accommodate any expansion of our operations if needed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probability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Video Privacy Protection Act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2023, a lawsuit titled Hunthausen v. BuzzFeed, Inc. was filed against us in the United States District Court for the Southern District of California, asserting class action claims for alleged violation of the Video Privacy Protection Act (“VPPA”) based on the claimed transmission of personally identifying information via the Meta pixel, Google Analytics, and the TikTok pixel, all of which are purportedly connected to posts on the BuzzFeed.com website. The putative class plaintiff was seeking an injunction to stop further alleged wrongful conduct, to recover unspecified compensatory damages and an award of costs, and any further appropriate relief. The matter was settled on January 4, 2024 and is now disposed.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we received 8,927 individual demands for JAMS arbitration in California, all of which allege that we violated the VPPA by transmitting personally identifying information via the Meta pixel, purportedly connected to posts on the BuzzFeed website. Each claimant was seeking to recover damages in the amount of $2,500 (actual dollars) for each alleged violation of the VPPA. We provisionally settled these claims on January 29, 2024.</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15, 2023, we received (1) 5,247 individual demands for JAMS arbitration in California, all of which allege that we violated the VPPA by transmitting personally identifying information via the use of various pixels purportedly in connection with the HuffPost.com website; and (2) 12,176 individual demands for JAMS arbitration in California, all of which allege that we violated the VPPA by transmitting personal identifying information via the use of various pixels purportedly in connection with the BuzzFeed.com website. Each claimant was seeking to recover damages in the amount of $2,500 (actual dollars) for each alleged violation of the VPPA, as well as punitive damages, attorneys’ fees and costs, and equitable relief. We provisionally settled these claims on January 16, 2024.</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31, 2023, we received 590 individual demands for JAMS arbitration in California, all of which allege that we violated the VPPA by transmitting personally identifying information via the use of various pixels purportedly in connection with the BuzzFeed.com website. Each claimant was seeking to recover damages in the amount of $2,500 (actual dollars) for each alleged violation of the VPPA. We provisionally settled these claims on January 29,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Mass Arbitrations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Two mass arbitrations (the “Arbitrations”) were initiated before the American Arbitration Association (the “AAA”) on March 15, 2022 against us and certain of our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21, 2022, the BuzzFeed Defendants filed a complaint in the Delaware Court of Chancery seeking to enjoin the Arbitrations on the grounds that, inter alia, the Claimants’ purported causes of action arise from their rights as our shareholders, are governed by our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2023, the Claimants filed amended statements of claim in the Arbitrations against BuzzFeed Media Enterprises, Inc., our wholly-owned subsidiary, and Continental Stock Transfer &amp; Trust Corporation, the transfer agent for 890 and, later, our transfer agent.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2023, BuzzFeed Media Enterprises, Inc., filed a complaint in the Delaware Court of Chancery seeking to enjoin the Arbitrations on the grounds that, inter alia, the Claimants’ purported causes of action arise from their rights as the Company’s shareholders, are governed by our charter, including its forum selection provision, and are therefore not arbitrable. The complaint seeks declaratory and injunctive relief. The parties cross-moved for summary judgment.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20, 2023, the Court of Chancery heard oral arguments on our motion for summary judgment and the Claimants’ cross-motion to dismiss the Company’s complaint. The arbitrations are stayed until the Court resolves the motions on the merits. The decision of the Court is pending.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regarding other legal proceedings in which we are involved, refer to Note 16 to the consolidated financial statements included elsewhere in this Annual Report on Form 10-K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Our Class A common stock and public warrants are currently listed on The Nasdaq Capital Market under the symbols “BZFD” and “BZFDW,” respectively. On </w:t>
      </w:r>
      <w:r>
        <w:rPr>
          <w:rFonts w:ascii="Times New Roman;sans-serif" w:hAnsi="Times New Roman;sans-serif"/>
          <w:b w:val="false"/>
          <w:color w:val="000000"/>
          <w:sz w:val="20"/>
          <w:shd w:fill="FFFFFF" w:val="clear"/>
        </w:rPr>
        <w:t>March 27, 2024</w:t>
      </w:r>
      <w:r>
        <w:rPr>
          <w:rFonts w:ascii="Times New Roman;sans-serif" w:hAnsi="Times New Roman;sans-serif"/>
          <w:b w:val="false"/>
          <w:color w:val="000000"/>
          <w:sz w:val="20"/>
        </w:rPr>
        <w:t xml:space="preserve">, the closing sale price of our Class A common stock was $0.40 per share and the closing sale price of our public warrants was $0.035 per warrant. Our Class B common stock and our Class C common stock is not listed or traded on any exchange. As of </w:t>
      </w:r>
      <w:r>
        <w:rPr>
          <w:rFonts w:ascii="Times New Roman;sans-serif" w:hAnsi="Times New Roman;sans-serif"/>
          <w:b w:val="false"/>
          <w:color w:val="000000"/>
          <w:sz w:val="20"/>
          <w:shd w:fill="FFFFFF" w:val="clear"/>
        </w:rPr>
        <w:t xml:space="preserve">March 27, 2024, </w:t>
      </w:r>
      <w:r>
        <w:rPr>
          <w:rFonts w:ascii="Times New Roman;sans-serif" w:hAnsi="Times New Roman;sans-serif"/>
          <w:b w:val="false"/>
          <w:color w:val="000000"/>
          <w:sz w:val="20"/>
        </w:rPr>
        <w:t>there were 247 holders of record of our Class A common stock, 19 holders of record of our Class B common stock, zero holders of record of our Class C common stock and 20 holders of record of our public warrants. Such numbers do not include beneficial owners holding our securities through an account with a brokerage firm, bank, or other nominee.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 In addition, our ability to pay dividends is limited by covenants of our existing and outstanding indebtedness and may be limited by covenants of any future indebtedness we incur.</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Item 12 of Part III of this Annual Report on Form 10-K for information regarding securities authorized for issuance under equity compensation plans, which is incorporated by reference herein.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issuer purchases of equity securities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 and Use of Proceeds from Registered Securities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consolidated financial statements of BuzzFeed and related notes thereto included elsewhere in this Annual Report on Form 10-K.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in this Annual Report on Form 10-K.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BuzzFeed is a premier digital media company for the most diverse, most online, and most socially connected generations the world has ever seen. Across entertainment, news, food, pop culture and commerce, our brands drive conversation and inspire what audiences watch, read, </w:t>
      </w:r>
      <w:r>
        <w:rPr>
          <w:rFonts w:ascii="Times New Roman;sans-serif" w:hAnsi="Times New Roman;sans-serif"/>
          <w:b w:val="false"/>
          <w:color w:val="000000"/>
          <w:sz w:val="20"/>
          <w:shd w:fill="FFFFFF" w:val="clear"/>
        </w:rPr>
        <w:t xml:space="preserve">and buy now </w:t>
      </w:r>
      <w:r>
        <w:rPr>
          <w:color w:val="000000"/>
        </w:rPr>
        <w:t xml:space="preserve">— </w:t>
      </w:r>
      <w:r>
        <w:rPr>
          <w:rFonts w:ascii="Times New Roman;sans-serif" w:hAnsi="Times New Roman;sans-serif"/>
          <w:b w:val="false"/>
          <w:color w:val="000000"/>
          <w:sz w:val="20"/>
          <w:shd w:fill="FFFFFF" w:val="clear"/>
        </w:rPr>
        <w:t>and into the future.</w:t>
      </w:r>
      <w:r>
        <w:rPr>
          <w:color w:val="000000"/>
        </w:rPr>
        <w:t xml:space="preserve"> </w:t>
      </w:r>
      <w:r>
        <w:rPr>
          <w:rFonts w:ascii="Times New Roman;sans-serif" w:hAnsi="Times New Roman;sans-serif"/>
          <w:b w:val="false"/>
          <w:color w:val="000000"/>
          <w:sz w:val="20"/>
        </w:rPr>
        <w:t xml:space="preserve">With a portfolio of iconic, globally-loved brands that includes BuzzFeed, HuffPost, Tasty, and First We Feast (including Hot Ones), we are the number one destination for audiences amongst our competitive set, in terms of Time Spent, according to Comscore.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BuzzFeed curates the Internet, and acts as an “inspiration engine,” driving both online and real-world action and transactions. Our strong audience signal and powerful content flywheel have enabled us to build category-leading brands, a deep, two-way connection with our audiences, and an engine for high-quality content at massive scale and low cost. As a result, each of our brands has a large, loyal, highly-engaged audience that is very attractive to advertisers, and through our rich first party data offering and contextual marketing solutions, we are able to help both advertisers and creators effectively and efficiently reach their target audiences. In 2023, our audiences consumed more than 300 million hours of content and drove </w:t>
      </w:r>
      <w:r>
        <w:rPr>
          <w:rFonts w:ascii="Times New Roman;sans-serif" w:hAnsi="Times New Roman;sans-serif"/>
          <w:b w:val="false"/>
          <w:color w:val="000000"/>
          <w:sz w:val="20"/>
          <w:shd w:fill="FFFFFF" w:val="clear"/>
        </w:rPr>
        <w:t>over $</w:t>
      </w:r>
      <w:r>
        <w:rPr>
          <w:rFonts w:ascii="Times New Roman;sans-serif" w:hAnsi="Times New Roman;sans-serif"/>
          <w:b w:val="false"/>
          <w:color w:val="000000"/>
          <w:sz w:val="20"/>
        </w:rPr>
        <w:t>500</w:t>
      </w:r>
      <w:r>
        <w:rPr>
          <w:color w:val="000000"/>
          <w:shd w:fill="FFFFFF" w:val="clear"/>
        </w:rPr>
        <w:t xml:space="preserve"> </w:t>
      </w:r>
      <w:r>
        <w:rPr>
          <w:rFonts w:ascii="Times New Roman;sans-serif" w:hAnsi="Times New Roman;sans-serif"/>
          <w:b w:val="false"/>
          <w:color w:val="000000"/>
          <w:sz w:val="20"/>
          <w:shd w:fill="FFFFFF" w:val="clear"/>
        </w:rPr>
        <w:t>million</w:t>
      </w:r>
      <w:r>
        <w:rPr>
          <w:color w:val="000000"/>
        </w:rPr>
        <w:t xml:space="preserve"> </w:t>
      </w:r>
      <w:r>
        <w:rPr>
          <w:rFonts w:ascii="Times New Roman;sans-serif" w:hAnsi="Times New Roman;sans-serif"/>
          <w:b w:val="false"/>
          <w:color w:val="000000"/>
          <w:sz w:val="20"/>
        </w:rPr>
        <w:t xml:space="preserve">in attributable transactions.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focused on revenue diversification and profitability (on an Adjusted EBITDA-basis, a non-GAAP financial measure as discussed below). Our data-driven approach to content creation and our cross-platform distribution network have enabled us to monetize our content by delivering a comprehensive suite of digital advertising products and services and introducing new, complementary revenue streams.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determined that the assets of Complex Networks (as defined below), excluding the First We Feast brand, met the criteria for classification as held for sale. Additionally, we concluded the ultimate disposal will represent a strategic shift that will have a major effect on our operations and financial results. As such, the historical financial results of Complex Networks have been reflected as discontinued operations in our consolidated financial statements. Refer to Note 22 to the consolidated financial statements included elsewhere within this Annual Report on Form 10-K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The Business Combination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pursuant to subscription agreements entered into in connection with the merger agreement pursuant to which the Business Combination was consummated, we issued, and certain investors purchased, $150.0 million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pPr>
      <w:r>
        <w:rPr>
          <w:rFonts w:ascii="Times New Roman;sans-serif" w:hAnsi="Times New Roman;sans-serif"/>
          <w:b w:val="false"/>
          <w:color w:val="000000"/>
          <w:sz w:val="20"/>
        </w:rPr>
        <w:t xml:space="preserve">principal amount of unsecured convertible notes due 2026 (the “Notes”) concurrently with the closing of the Business Combination. On March 7, 2024, we repaid approximately $30.9 million to holders of the Notes, leaving approximately $119.1 million aggregate principal of Notes outstanding as of March 7, 2024. Refer to </w:t>
      </w:r>
      <w:r>
        <w:rPr>
          <w:rFonts w:ascii="Times New Roman;sans-serif" w:hAnsi="Times New Roman;sans-serif"/>
          <w:b w:val="false"/>
          <w:color w:val="000000"/>
          <w:sz w:val="20"/>
          <w:shd w:fill="FFFFFF" w:val="clear"/>
        </w:rPr>
        <w:t>Notes 9 and 23 to the consolidated financial statements included elsewhere within this Annual Report on Form 10-K</w:t>
      </w:r>
      <w:r>
        <w:rPr>
          <w:color w:val="000000"/>
        </w:rPr>
        <w:t xml:space="preserve"> </w:t>
      </w:r>
      <w:r>
        <w:rPr>
          <w:rFonts w:ascii="Times New Roman;sans-serif" w:hAnsi="Times New Roman;sans-serif"/>
          <w:b w:val="false"/>
          <w:color w:val="000000"/>
          <w:sz w:val="20"/>
        </w:rPr>
        <w:t>for additional details.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Business Combination satisfied a liquidity condition for 2.7 million restricted stock units (“RSUs”) and we recognized approximately $16.0 million of incremental stock-based compensation expense as a cumulative catch-up adjustment based on the number of RSUs outstanding and the requisite service completed at December 3, 2021 (“Liquidity 2 RSUs”). There were a further 2.4 million restricted stock units with a liquidity condition that the Business Combination did not satisfy (“Liquidity 1 RSUs”). However, on May 12, 2022, our board of directors waived the liquidity condition associated with the Liquidity 1 RSUs, permitting the RSUs to vest (based on service). We recognized approximately $8.2 million of stock-based compensation expense associated with the Liquidity 1 RSUs in the second quarter of 2022. There were no such one-time expenses in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Restructuring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2024, we announced plans to reduce expenses by implementing an approximately 16% reduction in our then-current workforce (after the sale of certain assets relating to the business of Complex Networks). Refer to Note 23 to the consolidated financial statements included elsewhere in this Annual Report on Form 10-K for further details on this restructuring.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2023, we announced plans to reduce expenses by implementing an approximately 15% reduction in our then-current workforce. The reduction in workforce plan was part of a broader strategic re-prioritization across the Company in order to improve upon profitability and cash flow. The Company incurred approximately $6.8 million of restructuring costs for the year ended December 31, 2023, comprised mainly of severance and related benefit costs, of which $4.3 million were included in cost of revenue, excluding depreciation and amortization, $1.3 million were included in sales and marketing, $0.4 million were included in general and administrative, and $0.8 million were included in research and development.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our board of directors authorized a reduction in workforce plan, which included a reduction of our then-current global employee headcount by approximately 12%. The reduction in workforce plan was intended to reduce the Company’s costs in response to a combination of factors, including: (i) challenging macroeconomic conditions; (ii) completing the integration of Complex Networks and eliminating redundancies where they existed; and (iii) an ongoing audience shift to short-form, vertical video, which was still developing from a monetization standpoint. The Company incurred approximately $5.3 million of restructuring costs related to these actions.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2022, in connection with the acquisition of Complex Networks, the Company approved certain organizational changes to align sales and marketing and general and administrative functions as well as changes in content to better serve audience demands. Additionally, in June 2022, as part of a strategic repositioning of BuzzFeed News, the Company entered into a voluntary buyout proposal covering certain desks which was negotiated as part of collective bargaining between the Company and the BuzzFeed News Union. The Company incurred approximately $4.9 million of restructuring costs related to these actions.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2022 restructuring actions, the Company incurred approximately $10.2 million of aggregate restructuring costs for the year ended December 31, 2022, comprised mainly of severance and related benefit costs. For the year ended December 31, 2022, approximately $5.7 million were included in cost of revenue, excluding depreciation and amortization, $1.6 million were included in sales and marketing, $0.9 million were included in general and administrative, and $2.0 million were included in research and development.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announced a restructuring of HuffPost, including employee terminations, in order to efficiently integrate HuffPost, which the Company acquired in February 2021, and establish an efficient cost structure. The Company incurred approximately $3.6 million in severance costs related to the restructuring, of which $3.2 million were included in cost of revenue, excluding depreciation and amortization, $0.3 million were included in sales and marketing, and $0.1 million were included in research and development.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Effects of Current Economic Conditions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Macroeconomic conditions have a direct impact on overall advertising and marketing expenditures in the United States (the “U.S.”). As advertising and marketing budgets are often discretionary in nature, they can be easier to reduce in the short-term as compared to other corporate expenses. Additionally, economic downturns and recessionary fears may also negatively impact our ability to capture advertising dollars. Consequently, we believe advertising and content budgets have been, and may continue to be, affected by macroeconomic factors, such as market uncertainty and elevated interest rates, which has led to reduced spending from advertising and content customers. These macroeconomic factors have adversely impacted our advertising and content revenue in 2023 and we expect these factors will continue to adversely affect our revenue in 2024.</w:t>
      </w:r>
      <w:r>
        <w:rPr>
          <w:color w:val="000000"/>
          <w:shd w:fill="FFFFFF" w:val="clear"/>
        </w:rPr>
        <w:t xml:space="preserve"> </w:t>
      </w:r>
      <w:r>
        <w:rPr>
          <w:rFonts w:ascii="Times New Roman;sans-serif" w:hAnsi="Times New Roman;sans-serif"/>
          <w:b w:val="false"/>
          <w:color w:val="000000"/>
          <w:sz w:val="20"/>
          <w:shd w:fill="FFFFFF" w:val="clear"/>
        </w:rPr>
        <w:t>In addition, u</w:t>
      </w:r>
      <w:r>
        <w:rPr>
          <w:rFonts w:ascii="Times New Roman;sans-serif" w:hAnsi="Times New Roman;sans-serif"/>
          <w:b w:val="false"/>
          <w:color w:val="000000"/>
          <w:sz w:val="20"/>
        </w:rPr>
        <w:t xml:space="preserve">ncertainty surrounding macroeconomic factors in the U.S.and globally characterized by inflationary pressure, elevated interest rates, geopolitical issues or other factors may result in a recession, which could have a material adverse effect on our business. </w:t>
      </w:r>
      <w:r>
        <w:rPr>
          <w:rFonts w:ascii="Times New Roman;sans-serif" w:hAnsi="Times New Roman;sans-serif"/>
          <w:b w:val="false"/>
          <w:color w:val="000000"/>
          <w:sz w:val="20"/>
          <w:shd w:fill="FFFFFF" w:val="clear"/>
        </w:rPr>
        <w:t>Refer to</w:t>
      </w:r>
      <w:r>
        <w:rPr>
          <w:color w:val="000000"/>
        </w:rPr>
        <w:t xml:space="preserve"> </w:t>
      </w:r>
      <w:r>
        <w:rPr>
          <w:rFonts w:ascii="Times New Roman;sans-serif" w:hAnsi="Times New Roman;sans-serif"/>
          <w:b w:val="false"/>
          <w:color w:val="000000"/>
          <w:sz w:val="20"/>
        </w:rPr>
        <w:t xml:space="preserve">Part I, Item 1A “Risk Factors” included elsewhere within this Annual Report on Form 10-K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Executive 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operational highlights for the periods presented (in thousands):</w:t>
      </w:r>
    </w:p>
    <w:tbl>
      <w:tblPr>
        <w:tblW w:w="8492" w:type="dxa"/>
        <w:jc w:val="left"/>
        <w:tblInd w:w="0" w:type="dxa"/>
        <w:tblLayout w:type="fixed"/>
        <w:tblCellMar>
          <w:top w:w="28" w:type="dxa"/>
          <w:left w:w="28" w:type="dxa"/>
          <w:bottom w:w="28" w:type="dxa"/>
          <w:right w:w="28" w:type="dxa"/>
        </w:tblCellMar>
      </w:tblPr>
      <w:tblGrid>
        <w:gridCol w:w="1371"/>
        <w:gridCol w:w="1203"/>
        <w:gridCol w:w="1220"/>
        <w:gridCol w:w="211"/>
        <w:gridCol w:w="826"/>
        <w:gridCol w:w="271"/>
        <w:gridCol w:w="109"/>
        <w:gridCol w:w="109"/>
        <w:gridCol w:w="109"/>
        <w:gridCol w:w="211"/>
        <w:gridCol w:w="901"/>
        <w:gridCol w:w="271"/>
        <w:gridCol w:w="109"/>
        <w:gridCol w:w="109"/>
        <w:gridCol w:w="109"/>
        <w:gridCol w:w="211"/>
        <w:gridCol w:w="826"/>
        <w:gridCol w:w="316"/>
      </w:tblGrid>
      <w:tr>
        <w:trPr/>
        <w:tc>
          <w:tcPr>
            <w:tcW w:w="137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GAAP</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continuing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Non-Financial</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Time Spent</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 on owned and operated properties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ans-serif" w:hAnsi="Times New Roman;sans-serif"/>
                <w:b w:val="false"/>
                <w:color w:val="000000"/>
                <w:sz w:val="20"/>
              </w:rPr>
              <w:t>% on third-party platforms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(1)See “</w:t>
      </w:r>
      <w:r>
        <w:rPr>
          <w:rFonts w:ascii="Times New Roman;sans-serif" w:hAnsi="Times New Roman;sans-serif"/>
          <w:b w:val="false"/>
          <w:i/>
          <w:color w:val="000000"/>
          <w:sz w:val="20"/>
        </w:rPr>
        <w:t>Reconciliation from Net (loss) income from continuing operations to Adjusted EBITDA</w:t>
      </w:r>
      <w:r>
        <w:rPr>
          <w:color w:val="000000"/>
        </w:rPr>
        <w:t xml:space="preserve">” </w:t>
      </w:r>
      <w:r>
        <w:rPr>
          <w:rFonts w:ascii="Times New Roman;sans-serif" w:hAnsi="Times New Roman;sans-serif"/>
          <w:b w:val="false"/>
          <w:color w:val="000000"/>
          <w:sz w:val="20"/>
        </w:rPr>
        <w:t>for a reconciliation of Adjusted EBITDA (as defined below) to the most directly comparable financial measure in accordance with accounting principles generally accepted in the U.S. (“GAAP”).</w:t>
      </w:r>
    </w:p>
    <w:p>
      <w:pPr>
        <w:pStyle w:val="TextBody"/>
        <w:bidi w:val="0"/>
        <w:spacing w:lineRule="auto" w:line="288" w:before="240" w:after="283"/>
        <w:ind w:left="0" w:right="0" w:hanging="360"/>
        <w:jc w:val="both"/>
        <w:rPr/>
      </w:pPr>
      <w:r>
        <w:rPr>
          <w:rFonts w:ascii="Times New Roman;sans-serif" w:hAnsi="Times New Roman;sans-serif"/>
          <w:b w:val="false"/>
          <w:color w:val="000000"/>
          <w:sz w:val="20"/>
        </w:rPr>
        <w:t>(2)We define Time Spent as the estimated total number of hours spent by users on our owned and operated U.S. properties, our content on Apple News,</w:t>
      </w:r>
      <w:r>
        <w:rPr>
          <w:color w:val="000000"/>
          <w:shd w:fill="FFFFFF" w:val="clear"/>
        </w:rPr>
        <w:t xml:space="preserve"> </w:t>
      </w:r>
      <w:r>
        <w:rPr>
          <w:rFonts w:ascii="Times New Roman;sans-serif" w:hAnsi="Times New Roman;sans-serif"/>
          <w:b w:val="false"/>
          <w:color w:val="000000"/>
          <w:sz w:val="20"/>
          <w:shd w:fill="FFFFFF" w:val="clear"/>
        </w:rPr>
        <w:t>and</w:t>
      </w:r>
      <w:r>
        <w:rPr>
          <w:color w:val="000000"/>
        </w:rPr>
        <w:t xml:space="preserve"> </w:t>
      </w:r>
      <w:r>
        <w:rPr>
          <w:rFonts w:ascii="Times New Roman;sans-serif" w:hAnsi="Times New Roman;sans-serif"/>
          <w:b w:val="false"/>
          <w:color w:val="000000"/>
          <w:sz w:val="20"/>
        </w:rPr>
        <w:t>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Twitter. There are inherent challenges in measuring the total actual number of hours spent with our content across all platforms; however, we consider the data reported by Comscore</w:t>
      </w:r>
      <w:r>
        <w:rPr>
          <w:color w:val="000000"/>
          <w:shd w:fill="FFFFFF" w:val="clear"/>
        </w:rPr>
        <w:t xml:space="preserve"> </w:t>
      </w: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 xml:space="preserve">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Time Spent for the year ended December 31, 2023 decreased by 3%, </w:t>
      </w:r>
      <w:r>
        <w:rPr>
          <w:rFonts w:ascii="Times New Roman;sans-serif" w:hAnsi="Times New Roman;sans-serif"/>
          <w:b w:val="false"/>
          <w:color w:val="000000"/>
          <w:sz w:val="20"/>
          <w:shd w:fill="FFFFFF" w:val="clear"/>
        </w:rPr>
        <w:t xml:space="preserve">consistent with broader industry trends, </w:t>
      </w:r>
      <w:r>
        <w:rPr>
          <w:rFonts w:ascii="Times New Roman;sans-serif" w:hAnsi="Times New Roman;sans-serif"/>
          <w:b w:val="false"/>
          <w:color w:val="000000"/>
          <w:sz w:val="20"/>
        </w:rPr>
        <w:t>amongst our competitive set, according to Comscore</w:t>
      </w:r>
      <w:r>
        <w:rPr>
          <w:rFonts w:ascii="Times New Roman;sans-serif" w:hAnsi="Times New Roman;sans-serif"/>
          <w:b w:val="false"/>
          <w:color w:val="000000"/>
          <w:sz w:val="20"/>
          <w:shd w:fill="FFFFFF" w:val="clear"/>
        </w:rPr>
        <w:t xml:space="preserve">. Effective January 1, 2023, we exclude time spent on Facebook from our measure of Time Spent, as our monetization strategy is increasingly focused on advertising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our owned and operated properties, and Facebook now contributes an immaterial amount of advertising revenue. Time Spent on Facebook, as reported by Facebook, was approximately 58 million, 184 million, and 428 million hours for the years ended December 31, 2023, 2022, and 2021, respectively, which is not included in Time Spent presented in the table above.</w:t>
      </w:r>
      <w:r>
        <w:rPr>
          <w:color w:val="000000"/>
        </w:rPr>
        <w:t xml:space="preserve"> </w:t>
      </w:r>
      <w:r>
        <w:rPr>
          <w:rFonts w:ascii="Times New Roman;sans-serif" w:hAnsi="Times New Roman;sans-serif"/>
          <w:b w:val="false"/>
          <w:color w:val="000000"/>
          <w:sz w:val="20"/>
        </w:rPr>
        <w:t>Additionally, Time Spent presented above excludes time spent on Complex Networks, as Complex Networks is presented as a discontinued operation herein (refer to Note 22 to the consolidated financial statements included elsewhere within this Annual Report on Form 10-K for additional details). Time Spent on Complex Networks, as reported by Comscore, was approximately 76 million, 126 million, and 15 million hours for the years ended December 31, 2023, 2022, and 2021, respectively. Time Spent on Complex Networks, as reported by Comscore, historically included Time Spent on First We Feast, as First We Feast was historically under the Complex Networks’ measurement portfolio of Comscore. At this time, Time Spent on First We Feast cannot be reasonably bifurcated from Time Spent on Complex Networks. As such, in order to have a more comparable measure of Time Spent, we have excluded Time Spent on First We Feast from our measure of Time Spent presented above, and we will exclude Time Spent on First We Feast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Content Performance Metrics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certain metrics to assess the operational and financial performance of our business. Effective January 1, 2023, we have introduced new metrics with respect to our branded content revenue, which represents the majority of our reported content revenue (branded content is further defined within “Components of Results of Operations” below). Specifically, we monitor the performance of our branded content advertisers through retention and average trailing 12-month revenue per 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content revenue and influence our business planning decisions. Our use of net branded content advertiser revenue retention, branded content advertisers, and net average branded content advertiser revenue have limitations as analytical tools, and investors should not consider them in isolation. Additionally, the aforementioned metrics do not have any standardized meaning and are therefore unlikely to be comparable to similarly titled measures presented by other companies. Pro forma amounts for acquisitions and dispositions are calculated as if the acquisitions and / or dispositions occurred on the first day of the applicable period.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operating metrics for our branded content revenue for the three months ended December 31, 2023 and 2022 (on a trailing 12-month basis):</w:t>
      </w:r>
    </w:p>
    <w:tbl>
      <w:tblPr>
        <w:tblW w:w="7098" w:type="dxa"/>
        <w:jc w:val="left"/>
        <w:tblInd w:w="0" w:type="dxa"/>
        <w:tblLayout w:type="fixed"/>
        <w:tblCellMar>
          <w:top w:w="28" w:type="dxa"/>
          <w:left w:w="28" w:type="dxa"/>
          <w:bottom w:w="28" w:type="dxa"/>
          <w:right w:w="28" w:type="dxa"/>
        </w:tblCellMar>
      </w:tblPr>
      <w:tblGrid>
        <w:gridCol w:w="1794"/>
        <w:gridCol w:w="1572"/>
        <w:gridCol w:w="1584"/>
        <w:gridCol w:w="211"/>
        <w:gridCol w:w="406"/>
        <w:gridCol w:w="271"/>
        <w:gridCol w:w="109"/>
        <w:gridCol w:w="109"/>
        <w:gridCol w:w="109"/>
        <w:gridCol w:w="211"/>
        <w:gridCol w:w="406"/>
        <w:gridCol w:w="316"/>
      </w:tblGrid>
      <w:tr>
        <w:trPr/>
        <w:tc>
          <w:tcPr>
            <w:tcW w:w="1794"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branded content advertiser revenue retention</w:t>
            </w:r>
            <w:r>
              <w:rPr>
                <w:rFonts w:ascii="Times New Roman;sans-serif" w:hAnsi="Times New Roman;sans-serif"/>
                <w:b w:val="false"/>
                <w:color w:val="000000"/>
                <w:sz w:val="13"/>
              </w:rPr>
              <w:t>(1)</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10"/>
              <w:jc w:val="left"/>
              <w:rPr/>
            </w:pPr>
            <w:r>
              <w:rPr>
                <w:rFonts w:ascii="Times New Roman;sans-serif" w:hAnsi="Times New Roman;sans-serif"/>
                <w:b w:val="false"/>
                <w:color w:val="000000"/>
                <w:sz w:val="20"/>
              </w:rPr>
              <w:t>Branded content advertisers</w:t>
            </w:r>
            <w:r>
              <w:rPr>
                <w:rFonts w:ascii="Times New Roman;sans-serif" w:hAnsi="Times New Roman;sans-serif"/>
                <w:b w:val="false"/>
                <w:color w:val="000000"/>
                <w:sz w:val="13"/>
              </w:rPr>
              <w:t>(2)</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&gt;60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&gt;65</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10"/>
              <w:jc w:val="left"/>
              <w:rPr/>
            </w:pPr>
            <w:r>
              <w:rPr>
                <w:rFonts w:ascii="Times New Roman;sans-serif" w:hAnsi="Times New Roman;sans-serif"/>
                <w:b w:val="false"/>
                <w:color w:val="000000"/>
                <w:sz w:val="20"/>
              </w:rPr>
              <w:t>Net average branded content advertiser revenue</w:t>
            </w:r>
            <w:r>
              <w:rPr>
                <w:rFonts w:ascii="Times New Roman;sans-serif" w:hAnsi="Times New Roman;sans-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(1)Net branded content advertiser revenue retention is calculated by dividing the branded content revenue for the trailing 12 month from the close of the current reporting period, from advertisers who were also advertisers at the close of the same period in the prior year (the “base period”), by the branded content revenue for the trailing 12 month from the close of the base period. This analysis only considers branded content advertisers who spent greater than $250,000 (actual dollars) in the trailing 12 months from the close of the base period, and is pro forma for acquisitions and dispositions. This metric also excludes revenues derived from joint ventures and from deals not included in the branded content definition below. In both periods presented, this represents the significant majority of branded content advertiser revenue.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(2)Represents the actual number of branded content advertisers, excluding branded content advertisers that spent less than $250,000 (actual dollars) during the trailing 12 months at the close of the current reporting period, and is pro forma for acquisitions and dispositions. This does not mean an included advertiser spent $250,000 (actual dollars) in any given quarter.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(3)Represents the net branded content revenue (dollars in millions) generated by branded content customers (as defined in footnote (2) above) during the trailing 12 months at the close of the current reporting period divided by the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branded content advertisers during that period, and is pro forma for acquisitions and dispositions. This does not mean an included advertiser spent $250,000 (actual dollars) in any given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ind w:left="0" w:right="0" w:firstLine="360"/>
        <w:jc w:val="both"/>
        <w:rPr/>
      </w:pPr>
      <w:r>
        <w:rPr>
          <w:rFonts w:ascii="Times New Roman;sans-serif" w:hAnsi="Times New Roman;sans-serif"/>
          <w:b/>
          <w:i/>
          <w:color w:val="000000"/>
          <w:sz w:val="20"/>
        </w:rPr>
        <w:t xml:space="preserve">Revenue: </w:t>
      </w:r>
      <w:r>
        <w:rPr>
          <w:rFonts w:ascii="Times New Roman;sans-serif" w:hAnsi="Times New Roman;sans-serif"/>
          <w:b w:val="false"/>
          <w:color w:val="000000"/>
          <w:sz w:val="20"/>
        </w:rPr>
        <w:t>The majority of our revenue is generated through the following types of arrangements: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rPr>
        <w:t xml:space="preserve">Advertising: </w:t>
      </w:r>
      <w:r>
        <w:rPr>
          <w:rFonts w:ascii="Times New Roman;sans-serif" w:hAnsi="Times New Roman;sans-serif"/>
          <w:b w:val="false"/>
          <w:color w:val="000000"/>
          <w:sz w:val="20"/>
        </w:rPr>
        <w:t>Consists of display, programmatic, and video advertising on our owned and operated sites and applications and social media 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Content: </w:t>
      </w:r>
      <w:r>
        <w:rPr>
          <w:rFonts w:ascii="Times New Roman;sans-serif" w:hAnsi="Times New Roman;sans-serif"/>
          <w:b w:val="false"/>
          <w:color w:val="000000"/>
          <w:sz w:val="20"/>
        </w:rPr>
        <w:t xml:space="preserve">Includes revenue generated from creating content, including promotional content, and customer advertising (herein referred to as “branded content”). Additionally, includes revenue from feature films and content licensing. Content revenue is recognized when the content, or the related action (click or view), is delivered.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Commerce and other: </w:t>
      </w:r>
      <w:r>
        <w:rPr>
          <w:rFonts w:ascii="Times New Roman;sans-serif" w:hAnsi="Times New Roman;sans-serif"/>
          <w:b w:val="false"/>
          <w:color w:val="000000"/>
          <w:sz w:val="20"/>
        </w:rPr>
        <w:t xml:space="preserve">Includes affiliate marketplace revenue and licensing of intellectual property. We participate in multiple marketplace arrangements with third parties, whereby we provide affiliate links which redirect the audience to purchase products and/or services from the third parties. When the participant purchases a product and/or service, we receive a commission fee for that sale from the third party. Affiliate marketplace revenue is recognized when a successful sale is made and the commission is earned. </w:t>
      </w:r>
    </w:p>
    <w:p>
      <w:pPr>
        <w:pStyle w:val="TextBody"/>
        <w:bidi w:val="0"/>
        <w:spacing w:lineRule="auto" w:line="288" w:before="240" w:after="283"/>
        <w:ind w:left="0" w:right="0" w:firstLine="360"/>
        <w:jc w:val="both"/>
        <w:rPr/>
      </w:pPr>
      <w:r>
        <w:rPr>
          <w:rFonts w:ascii="Times New Roman;sans-serif" w:hAnsi="Times New Roman;sans-serif"/>
          <w:b/>
          <w:i/>
          <w:color w:val="000000"/>
          <w:sz w:val="20"/>
        </w:rPr>
        <w:t>Cost of revenue:</w:t>
      </w:r>
      <w:r>
        <w:rPr>
          <w:color w:val="000000"/>
        </w:rPr>
        <w:t xml:space="preserve"> </w:t>
      </w:r>
      <w:r>
        <w:rPr>
          <w:rFonts w:ascii="Times New Roman;sans-serif" w:hAnsi="Times New Roman;sans-serif"/>
          <w:b w:val="false"/>
          <w:color w:val="000000"/>
          <w:sz w:val="20"/>
        </w:rPr>
        <w:t>Consists primarily of compensation-related expenses and costs incurred for the creation of editorial, promotional, and news content across all platforms, as well as amounts due to third-party websites and platforms to fulfill customers’ advertising campaigns. Web hosting and advertising serving platform costs are also included in cost of revenue.</w:t>
      </w:r>
    </w:p>
    <w:p>
      <w:pPr>
        <w:pStyle w:val="TextBody"/>
        <w:bidi w:val="0"/>
        <w:spacing w:lineRule="auto" w:line="288" w:before="240" w:after="283"/>
        <w:ind w:left="0" w:right="0" w:firstLine="360"/>
        <w:jc w:val="both"/>
        <w:rPr/>
      </w:pPr>
      <w:r>
        <w:rPr>
          <w:rFonts w:ascii="Times New Roman;sans-serif" w:hAnsi="Times New Roman;sans-serif"/>
          <w:b/>
          <w:i/>
          <w:color w:val="000000"/>
          <w:sz w:val="20"/>
        </w:rPr>
        <w:t>Sales and marketing</w:t>
      </w:r>
      <w:r>
        <w:rPr>
          <w:rFonts w:ascii="Times New Roman;sans-serif" w:hAnsi="Times New Roman;sans-serif"/>
          <w:b w:val="false"/>
          <w:color w:val="000000"/>
          <w:sz w:val="20"/>
        </w:rPr>
        <w:t>: Consists primarily of compensation-related expenses for sales employees. In addition, sales and marketing expenses include advertising costs and market research.</w:t>
      </w:r>
    </w:p>
    <w:p>
      <w:pPr>
        <w:pStyle w:val="TextBody"/>
        <w:bidi w:val="0"/>
        <w:spacing w:lineRule="auto" w:line="288" w:before="240" w:after="283"/>
        <w:ind w:left="0" w:right="0" w:firstLine="360"/>
        <w:jc w:val="both"/>
        <w:rPr/>
      </w:pPr>
      <w:r>
        <w:rPr>
          <w:rFonts w:ascii="Times New Roman;sans-serif" w:hAnsi="Times New Roman;sans-serif"/>
          <w:b/>
          <w:i/>
          <w:color w:val="000000"/>
          <w:sz w:val="20"/>
        </w:rPr>
        <w:t>General and administrative</w:t>
      </w:r>
      <w:r>
        <w:rPr>
          <w:rFonts w:ascii="Times New Roman;sans-serif" w:hAnsi="Times New Roman;sans-serif"/>
          <w:b w:val="false"/>
          <w:color w:val="000000"/>
          <w:sz w:val="20"/>
        </w:rPr>
        <w:t xml:space="preserve">: Consists of compensation-related expenses for corporate employees. Also, it consists of expenses for facilities, professional services fees, insurance costs, and other general overhead costs. </w:t>
      </w:r>
    </w:p>
    <w:p>
      <w:pPr>
        <w:pStyle w:val="TextBody"/>
        <w:bidi w:val="0"/>
        <w:spacing w:lineRule="auto" w:line="288" w:before="240" w:after="283"/>
        <w:ind w:left="0" w:right="0" w:firstLine="360"/>
        <w:jc w:val="both"/>
        <w:rPr/>
      </w:pPr>
      <w:r>
        <w:rPr>
          <w:rFonts w:ascii="Times New Roman;sans-serif" w:hAnsi="Times New Roman;sans-serif"/>
          <w:b/>
          <w:i/>
          <w:color w:val="000000"/>
          <w:sz w:val="20"/>
        </w:rPr>
        <w:t>Research and development:</w:t>
      </w:r>
      <w:r>
        <w:rPr>
          <w:color w:val="000000"/>
        </w:rPr>
        <w:t xml:space="preserve"> </w:t>
      </w:r>
      <w:r>
        <w:rPr>
          <w:rFonts w:ascii="Times New Roman;sans-serif" w:hAnsi="Times New Roman;sans-serif"/>
          <w:b w:val="false"/>
          <w:color w:val="000000"/>
          <w:sz w:val="20"/>
        </w:rPr>
        <w:t>Consists primarily of compensation-related expenses incurred for the development of, enhancements to, and maintenance of our website, technology platforms, data collection and infrastructure. Research and development expenses that do not meet the criteria for capitalization are expensed as incurred.</w:t>
      </w:r>
    </w:p>
    <w:p>
      <w:pPr>
        <w:pStyle w:val="TextBody"/>
        <w:bidi w:val="0"/>
        <w:spacing w:lineRule="auto" w:line="288" w:before="240" w:after="283"/>
        <w:ind w:left="0" w:right="0" w:firstLine="360"/>
        <w:jc w:val="both"/>
        <w:rPr/>
      </w:pPr>
      <w:r>
        <w:rPr>
          <w:rFonts w:ascii="Times New Roman;sans-serif" w:hAnsi="Times New Roman;sans-serif"/>
          <w:b/>
          <w:i/>
          <w:color w:val="000000"/>
          <w:sz w:val="20"/>
        </w:rPr>
        <w:t>Depreciation and amortization:</w:t>
      </w:r>
      <w:r>
        <w:rPr>
          <w:color w:val="000000"/>
        </w:rPr>
        <w:t xml:space="preserve"> </w:t>
      </w:r>
      <w:r>
        <w:rPr>
          <w:rFonts w:ascii="Times New Roman;sans-serif" w:hAnsi="Times New Roman;sans-serif"/>
          <w:b w:val="false"/>
          <w:color w:val="000000"/>
          <w:sz w:val="20"/>
        </w:rPr>
        <w:t>Represents depreciation of property and equipment and amortization of intangible assets and capitalized software costs.</w:t>
      </w:r>
    </w:p>
    <w:p>
      <w:pPr>
        <w:pStyle w:val="TextBody"/>
        <w:bidi w:val="0"/>
        <w:spacing w:lineRule="auto" w:line="288" w:before="240" w:after="283"/>
        <w:ind w:left="0" w:right="0" w:firstLine="360"/>
        <w:jc w:val="both"/>
        <w:rPr/>
      </w:pPr>
      <w:r>
        <w:rPr>
          <w:rFonts w:ascii="Times New Roman;sans-serif" w:hAnsi="Times New Roman;sans-serif"/>
          <w:b/>
          <w:i/>
          <w:color w:val="000000"/>
          <w:sz w:val="20"/>
        </w:rPr>
        <w:t xml:space="preserve">Impairment expense: </w:t>
      </w:r>
      <w:r>
        <w:rPr>
          <w:rFonts w:ascii="Times New Roman;sans-serif" w:hAnsi="Times New Roman;sans-serif"/>
          <w:b w:val="false"/>
          <w:color w:val="000000"/>
          <w:sz w:val="20"/>
        </w:rPr>
        <w:t xml:space="preserve">Represents impairment charges on goodwill and certain </w:t>
      </w:r>
      <w:r>
        <w:rPr>
          <w:rFonts w:ascii="Times New Roman;sans-serif" w:hAnsi="Times New Roman;sans-serif"/>
          <w:b w:val="false"/>
          <w:color w:val="000000"/>
          <w:sz w:val="20"/>
          <w:shd w:fill="FFFFFF" w:val="clear"/>
        </w:rPr>
        <w:t xml:space="preserve">long-lived </w:t>
      </w:r>
      <w:r>
        <w:rPr>
          <w:rFonts w:ascii="Times New Roman;sans-serif" w:hAnsi="Times New Roman;sans-serif"/>
          <w:b w:val="false"/>
          <w:color w:val="000000"/>
          <w:sz w:val="20"/>
        </w:rPr>
        <w:t xml:space="preserve">assets. Refer to Note 21 to the consolidated financial statements included elsewhere in this Annual Report on Form 10-K for additional details. </w:t>
      </w:r>
    </w:p>
    <w:p>
      <w:pPr>
        <w:pStyle w:val="TextBody"/>
        <w:bidi w:val="0"/>
        <w:spacing w:lineRule="auto" w:line="288" w:before="240" w:after="283"/>
        <w:ind w:left="0" w:right="0" w:firstLine="360"/>
        <w:jc w:val="both"/>
        <w:rPr/>
      </w:pPr>
      <w:r>
        <w:rPr>
          <w:rFonts w:ascii="Times New Roman;sans-serif" w:hAnsi="Times New Roman;sans-serif"/>
          <w:b/>
          <w:i/>
          <w:color w:val="000000"/>
          <w:sz w:val="20"/>
        </w:rPr>
        <w:t>Other expense, net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Consists of foreign exchange gains and losses, gains and losses on investments, gains and losses on dispositions of subsidiaries, gains and losses on disposition of assets, and other miscellaneous income and expenses.</w:t>
      </w:r>
    </w:p>
    <w:p>
      <w:pPr>
        <w:pStyle w:val="TextBody"/>
        <w:bidi w:val="0"/>
        <w:spacing w:lineRule="auto" w:line="288" w:before="240" w:after="283"/>
        <w:ind w:left="0" w:right="0" w:firstLine="360"/>
        <w:jc w:val="both"/>
        <w:rPr/>
      </w:pPr>
      <w:r>
        <w:rPr>
          <w:rFonts w:ascii="Times New Roman;sans-serif" w:hAnsi="Times New Roman;sans-serif"/>
          <w:b/>
          <w:i/>
          <w:color w:val="000000"/>
          <w:sz w:val="20"/>
        </w:rPr>
        <w:t>Interest expense, net:</w:t>
      </w:r>
      <w:r>
        <w:rPr>
          <w:color w:val="000000"/>
        </w:rPr>
        <w:t xml:space="preserve"> </w:t>
      </w:r>
      <w:r>
        <w:rPr>
          <w:rFonts w:ascii="Times New Roman;sans-serif" w:hAnsi="Times New Roman;sans-serif"/>
          <w:b w:val="false"/>
          <w:color w:val="000000"/>
          <w:sz w:val="20"/>
        </w:rPr>
        <w:t xml:space="preserve">Consists of interest expense incurred on our borrowings, net of interest income on </w:t>
      </w:r>
      <w:r>
        <w:rPr>
          <w:rFonts w:ascii="Times New Roman;sans-serif" w:hAnsi="Times New Roman;sans-serif"/>
          <w:b w:val="false"/>
          <w:color w:val="000000"/>
          <w:sz w:val="20"/>
          <w:shd w:fill="FFFFFF" w:val="clear"/>
        </w:rPr>
        <w:t>interest bearing checking accounts.</w:t>
      </w:r>
    </w:p>
    <w:p>
      <w:pPr>
        <w:pStyle w:val="TextBody"/>
        <w:bidi w:val="0"/>
        <w:spacing w:lineRule="auto" w:line="288" w:before="240" w:after="283"/>
        <w:ind w:left="0" w:right="0" w:firstLine="360"/>
        <w:jc w:val="both"/>
        <w:rPr/>
      </w:pPr>
      <w:r>
        <w:rPr>
          <w:rFonts w:ascii="Times New Roman;sans-serif" w:hAnsi="Times New Roman;sans-serif"/>
          <w:b/>
          <w:i/>
          <w:color w:val="000000"/>
          <w:sz w:val="20"/>
        </w:rPr>
        <w:t>Change in fair value of warrant liabilities:</w:t>
      </w:r>
      <w:r>
        <w:rPr>
          <w:color w:val="000000"/>
        </w:rPr>
        <w:t xml:space="preserve"> </w:t>
      </w:r>
      <w:r>
        <w:rPr>
          <w:rFonts w:ascii="Times New Roman;sans-serif" w:hAnsi="Times New Roman;sans-serif"/>
          <w:b w:val="false"/>
          <w:color w:val="000000"/>
          <w:sz w:val="20"/>
        </w:rPr>
        <w:t xml:space="preserve">Reflects the changes in warrant liabilities which is primarily based on the market price of our public warrants listed on The Nasdaq Capital Market under the symbol “BZFDW.” Refer to Note 5 to the consolidated financial statements included elsewhere in this Annual Report on Form 10-K for additional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pPr>
      <w:r>
        <w:rPr>
          <w:rFonts w:ascii="Times New Roman;sans-serif" w:hAnsi="Times New Roman;sans-serif"/>
          <w:b/>
          <w:i/>
          <w:color w:val="000000"/>
          <w:sz w:val="20"/>
        </w:rPr>
        <w:t>Change in fair value of derivative liability:</w:t>
      </w:r>
      <w:r>
        <w:rPr>
          <w:color w:val="000000"/>
        </w:rPr>
        <w:t xml:space="preserve"> </w:t>
      </w:r>
      <w:r>
        <w:rPr>
          <w:rFonts w:ascii="Times New Roman;sans-serif" w:hAnsi="Times New Roman;sans-serif"/>
          <w:b w:val="false"/>
          <w:color w:val="000000"/>
          <w:sz w:val="20"/>
        </w:rPr>
        <w:t xml:space="preserve">In December 2021, we issued a $150.0 million aggregate principal amount of the Notes that contain redemption features which we determined were embedded derivatives to be recognized as liabilities and measured at fair value. At the end of each reporting period, changes in the estimated fair value during the period are recorded as a change in the fair value of derivative liability. During the year ended December 31, 2023, we determined the fair value of the derivative liability was immaterial; refer to Note 5 to the consolidated financial statements included elsewhere in this Annual Report on Form 10-K for additional details. On March 7, 2024, we repaid approximately $30.9 million to holders of the Notes, leaving approximately $119.1 million aggregate principal amount of Notes outstanding as of March 7, 2024. </w:t>
      </w:r>
    </w:p>
    <w:p>
      <w:pPr>
        <w:pStyle w:val="TextBody"/>
        <w:bidi w:val="0"/>
        <w:spacing w:lineRule="auto" w:line="288" w:before="240" w:after="283"/>
        <w:ind w:left="0" w:right="0" w:firstLine="360"/>
        <w:jc w:val="both"/>
        <w:rPr/>
      </w:pPr>
      <w:r>
        <w:rPr>
          <w:rFonts w:ascii="Times New Roman;sans-serif" w:hAnsi="Times New Roman;sans-serif"/>
          <w:b/>
          <w:i/>
          <w:color w:val="000000"/>
          <w:sz w:val="20"/>
        </w:rPr>
        <w:t>Income tax provision (benefit):</w:t>
      </w:r>
      <w:r>
        <w:rPr>
          <w:color w:val="000000"/>
        </w:rPr>
        <w:t xml:space="preserve"> </w:t>
      </w:r>
      <w:r>
        <w:rPr>
          <w:rFonts w:ascii="Times New Roman;sans-serif" w:hAnsi="Times New Roman;sans-serif"/>
          <w:b w:val="false"/>
          <w:color w:val="000000"/>
          <w:sz w:val="20"/>
        </w:rPr>
        <w:t>Represents federal, state, and local taxes based on income in multiple domestic and international jurisdictions.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consolidated statement of operations data for each of the periods presented (in thousands):</w:t>
      </w:r>
    </w:p>
    <w:tbl>
      <w:tblPr>
        <w:tblW w:w="10092" w:type="dxa"/>
        <w:jc w:val="left"/>
        <w:tblInd w:w="0" w:type="dxa"/>
        <w:tblLayout w:type="fixed"/>
        <w:tblCellMar>
          <w:top w:w="28" w:type="dxa"/>
          <w:left w:w="28" w:type="dxa"/>
          <w:bottom w:w="28" w:type="dxa"/>
          <w:right w:w="28" w:type="dxa"/>
        </w:tblCellMar>
      </w:tblPr>
      <w:tblGrid>
        <w:gridCol w:w="2123"/>
        <w:gridCol w:w="1871"/>
        <w:gridCol w:w="1886"/>
        <w:gridCol w:w="211"/>
        <w:gridCol w:w="826"/>
        <w:gridCol w:w="109"/>
        <w:gridCol w:w="109"/>
        <w:gridCol w:w="109"/>
        <w:gridCol w:w="109"/>
        <w:gridCol w:w="211"/>
        <w:gridCol w:w="901"/>
        <w:gridCol w:w="109"/>
        <w:gridCol w:w="109"/>
        <w:gridCol w:w="109"/>
        <w:gridCol w:w="109"/>
        <w:gridCol w:w="211"/>
        <w:gridCol w:w="826"/>
        <w:gridCol w:w="154"/>
      </w:tblGrid>
      <w:tr>
        <w:trPr/>
        <w:tc>
          <w:tcPr>
            <w:tcW w:w="2123"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income from continuing operations before income taxes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 (benefit)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continuing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discontinued operations,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the redeemable noncontrolling interest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the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income attributable to BuzzFeed, Inc.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include stock-based compensation expense as follows (in thousands):</w:t>
      </w:r>
    </w:p>
    <w:tbl>
      <w:tblPr>
        <w:tblW w:w="8517" w:type="dxa"/>
        <w:jc w:val="left"/>
        <w:tblInd w:w="0" w:type="dxa"/>
        <w:tblLayout w:type="fixed"/>
        <w:tblCellMar>
          <w:top w:w="28" w:type="dxa"/>
          <w:left w:w="28" w:type="dxa"/>
          <w:bottom w:w="28" w:type="dxa"/>
          <w:right w:w="28" w:type="dxa"/>
        </w:tblCellMar>
      </w:tblPr>
      <w:tblGrid>
        <w:gridCol w:w="1740"/>
        <w:gridCol w:w="1528"/>
        <w:gridCol w:w="1532"/>
        <w:gridCol w:w="211"/>
        <w:gridCol w:w="616"/>
        <w:gridCol w:w="109"/>
        <w:gridCol w:w="109"/>
        <w:gridCol w:w="109"/>
        <w:gridCol w:w="109"/>
        <w:gridCol w:w="211"/>
        <w:gridCol w:w="721"/>
        <w:gridCol w:w="109"/>
        <w:gridCol w:w="109"/>
        <w:gridCol w:w="109"/>
        <w:gridCol w:w="109"/>
        <w:gridCol w:w="211"/>
        <w:gridCol w:w="721"/>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231F20"/>
                <w:sz w:val="16"/>
              </w:rPr>
            </w:pPr>
            <w:r>
              <w:rPr>
                <w:rFonts w:ascii="Times New Roman;sans-serif" w:hAnsi="Times New Roman;sans-serif"/>
                <w:b/>
                <w:color w:val="231F20"/>
                <w:sz w:val="16"/>
              </w:rPr>
              <w:t>2021</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Cost of revenue, excluding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r>
              <w:rPr>
                <w:rFonts w:ascii="Times New Roman;sans-serif" w:hAnsi="Times New Roman;sans-serif"/>
                <w:b w:val="false"/>
                <w:color w:val="231F20"/>
                <w:sz w:val="20"/>
              </w:rPr>
              <w:t>Research and development</w:t>
            </w:r>
            <w:r>
              <w:rPr>
                <w:rFonts w:ascii="Times New Roman;sans-serif" w:hAnsi="Times New Roman;sans-serif"/>
                <w:b w:val="false"/>
                <w:color w:val="231F2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The negative stock-based compensation expense for the year ended December 31, 2023 for Research and development was primarily due to forfeitures.</w:t>
      </w:r>
    </w:p>
    <w:p>
      <w:pPr>
        <w:pStyle w:val="TextBody"/>
        <w:bidi w:val="0"/>
        <w:spacing w:lineRule="auto" w:line="288" w:before="140" w:after="283"/>
        <w:ind w:left="0" w:right="0" w:firstLine="360"/>
        <w:jc w:val="both"/>
        <w:rPr/>
      </w:pPr>
      <w:r>
        <w:rPr>
          <w:rFonts w:ascii="Times New Roman;sans-serif" w:hAnsi="Times New Roman;sans-serif"/>
          <w:b w:val="false"/>
          <w:color w:val="000000"/>
          <w:sz w:val="20"/>
        </w:rPr>
        <w:t>The following table sets forth our consolidated statement of operations data for each of the periods presented as a percentage of revenue</w:t>
      </w:r>
      <w:r>
        <w:rPr>
          <w:rFonts w:ascii="Times New Roman;sans-serif" w:hAnsi="Times New Roman;sans-serif"/>
          <w:b w:val="false"/>
          <w:color w:val="000000"/>
          <w:sz w:val="13"/>
        </w:rPr>
        <w:t>(1)</w:t>
      </w:r>
      <w:r>
        <w:rPr>
          <w:rFonts w:ascii="Times New Roman;sans-serif" w:hAnsi="Times New Roman;sans-serif"/>
          <w:b w:val="false"/>
          <w:color w:val="000000"/>
          <w:sz w:val="20"/>
        </w:rPr>
        <w:t>:</w:t>
      </w:r>
    </w:p>
    <w:tbl>
      <w:tblPr>
        <w:tblW w:w="8790" w:type="dxa"/>
        <w:jc w:val="left"/>
        <w:tblInd w:w="0" w:type="dxa"/>
        <w:tblLayout w:type="fixed"/>
        <w:tblCellMar>
          <w:top w:w="28" w:type="dxa"/>
          <w:left w:w="28" w:type="dxa"/>
          <w:bottom w:w="28" w:type="dxa"/>
          <w:right w:w="28" w:type="dxa"/>
        </w:tblCellMar>
      </w:tblPr>
      <w:tblGrid>
        <w:gridCol w:w="2123"/>
        <w:gridCol w:w="1871"/>
        <w:gridCol w:w="1886"/>
        <w:gridCol w:w="233"/>
        <w:gridCol w:w="233"/>
        <w:gridCol w:w="271"/>
        <w:gridCol w:w="109"/>
        <w:gridCol w:w="109"/>
        <w:gridCol w:w="109"/>
        <w:gridCol w:w="233"/>
        <w:gridCol w:w="233"/>
        <w:gridCol w:w="271"/>
        <w:gridCol w:w="109"/>
        <w:gridCol w:w="109"/>
        <w:gridCol w:w="109"/>
        <w:gridCol w:w="233"/>
        <w:gridCol w:w="233"/>
        <w:gridCol w:w="316"/>
      </w:tblGrid>
      <w:tr>
        <w:trPr/>
        <w:tc>
          <w:tcPr>
            <w:tcW w:w="2123"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2021</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income from continuing operations before income taxes </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 (benefit)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continuing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discontinued operations,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the redeemable noncontrolling interest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the noncontrolling interests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income attributable to BuzzFeed, Inc. </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(1)Percentages have been rounded for presentation purposes and may differ from non-rounded results.</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For a discussion of our consolidated results of operations for the year ended December 31, 2022, including a year-to-year comparison between 2022 and 2021, refer to Part II, Item 7, "Management's Discussion and Analysis of Financial Condition and Results of Operations" in our Annual Report on Form 10-K for the year ended December 31, 2022.</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Comparison of results for the years ended December 31, 2023 and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as follows (in thousands):</w:t>
      </w:r>
    </w:p>
    <w:tbl>
      <w:tblPr>
        <w:tblW w:w="6226" w:type="dxa"/>
        <w:jc w:val="left"/>
        <w:tblInd w:w="0" w:type="dxa"/>
        <w:tblLayout w:type="fixed"/>
        <w:tblCellMar>
          <w:top w:w="28" w:type="dxa"/>
          <w:left w:w="28" w:type="dxa"/>
          <w:bottom w:w="28" w:type="dxa"/>
          <w:right w:w="28" w:type="dxa"/>
        </w:tblCellMar>
      </w:tblPr>
      <w:tblGrid>
        <w:gridCol w:w="650"/>
        <w:gridCol w:w="574"/>
        <w:gridCol w:w="575"/>
        <w:gridCol w:w="109"/>
        <w:gridCol w:w="109"/>
        <w:gridCol w:w="109"/>
        <w:gridCol w:w="211"/>
        <w:gridCol w:w="826"/>
        <w:gridCol w:w="109"/>
        <w:gridCol w:w="109"/>
        <w:gridCol w:w="109"/>
        <w:gridCol w:w="109"/>
        <w:gridCol w:w="211"/>
        <w:gridCol w:w="826"/>
        <w:gridCol w:w="109"/>
        <w:gridCol w:w="109"/>
        <w:gridCol w:w="109"/>
        <w:gridCol w:w="109"/>
        <w:gridCol w:w="234"/>
        <w:gridCol w:w="234"/>
        <w:gridCol w:w="686"/>
      </w:tblGrid>
      <w:tr>
        <w:trPr/>
        <w:tc>
          <w:tcPr>
            <w:tcW w:w="65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2022 to 2023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252,677 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342,554 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6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360"/>
        <w:jc w:val="both"/>
        <w:rPr/>
      </w:pPr>
      <w:r>
        <w:rPr>
          <w:rFonts w:ascii="Times New Roman;sans-serif" w:hAnsi="Times New Roman;sans-serif"/>
          <w:b w:val="false"/>
          <w:color w:val="000000"/>
          <w:sz w:val="20"/>
        </w:rPr>
        <w:t>Advertising revenue decreased by $51.3 million, or 31%, for the year ended December 31, 2023,</w:t>
      </w:r>
      <w:r>
        <w:rPr>
          <w:color w:val="000000"/>
        </w:rPr>
        <w:t xml:space="preserve"> </w:t>
      </w:r>
      <w:r>
        <w:rPr>
          <w:rFonts w:ascii="Times New Roman;sans-serif" w:hAnsi="Times New Roman;sans-serif"/>
          <w:b w:val="false"/>
          <w:color w:val="000000"/>
          <w:sz w:val="20"/>
        </w:rPr>
        <w:t>driven by a $34.7 million decline in advertising revenues derived from products that are not monetized on a per-impression basis. The remaining decline was driven by a $16.6 million, or 13% decline in advertising revenue from products monetized on a per-impression basis, which reflects a 12</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decline in the number of programmatic impressions delivered and a 1</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decrease in overall pricing. We expect continued advertising demand softness to negatively impact our advertising revenues in 2024. </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Content revenue decreased by $37.9 million, or 31%, for the year ended December 31, 2023, driven by a decrease in consumer spending in certain client verticals, particularly those in the consumer packaged goods, financial services, and entertainment industries, partially due to the broader macroeconomic environment which we believe has contributed to decreased advertising budgets. Additionally, a decrease in the number of branded content advertisers contributed to the year-over-year decline, as well as an $8.5 million decline in revenue from feature films, due to the timing of revenue recognition with respect to delivery and release of feature films. We anticipate the year-over-year decrease in the number of branded content advertisers, as well as fewer feature film deliveries, to negatively impact our content revenues in the near-term.</w:t>
      </w:r>
      <w:r>
        <w:rPr>
          <w:color w:val="000000"/>
        </w:rPr>
        <w:t xml:space="preserv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Commerce and other revenue decreased by $0.7 million, or 1%, for the year ended December 31,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 excluding depreciation and amortization:</w:t>
      </w:r>
    </w:p>
    <w:tbl>
      <w:tblPr>
        <w:tblW w:w="9550" w:type="dxa"/>
        <w:jc w:val="left"/>
        <w:tblInd w:w="0" w:type="dxa"/>
        <w:tblLayout w:type="fixed"/>
        <w:tblCellMar>
          <w:top w:w="28" w:type="dxa"/>
          <w:left w:w="28" w:type="dxa"/>
          <w:bottom w:w="28" w:type="dxa"/>
          <w:right w:w="28" w:type="dxa"/>
        </w:tblCellMar>
      </w:tblPr>
      <w:tblGrid>
        <w:gridCol w:w="1731"/>
        <w:gridCol w:w="1528"/>
        <w:gridCol w:w="1540"/>
        <w:gridCol w:w="109"/>
        <w:gridCol w:w="109"/>
        <w:gridCol w:w="109"/>
        <w:gridCol w:w="211"/>
        <w:gridCol w:w="826"/>
        <w:gridCol w:w="271"/>
        <w:gridCol w:w="109"/>
        <w:gridCol w:w="109"/>
        <w:gridCol w:w="109"/>
        <w:gridCol w:w="211"/>
        <w:gridCol w:w="826"/>
        <w:gridCol w:w="271"/>
        <w:gridCol w:w="109"/>
        <w:gridCol w:w="109"/>
        <w:gridCol w:w="109"/>
        <w:gridCol w:w="234"/>
        <w:gridCol w:w="234"/>
        <w:gridCol w:w="686"/>
      </w:tblGrid>
      <w:tr>
        <w:trPr/>
        <w:tc>
          <w:tcPr>
            <w:tcW w:w="173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2022 to 2023 </w:t>
              <w:br/>
              <w:t xml:space="preserve">% Change </w:t>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9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by $52.0 million, or 27%, for the year ended December 31, 2023, driven by: a $25.0 million decrease in compensation expense reflecting our previous cost-savings actions; a $23.9 million decrease in variable costs of revenue primarily driven by the decline in revenue year-over-year; and a $2.2 million decrease in stock-based compensation expense.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7653" w:type="dxa"/>
        <w:jc w:val="left"/>
        <w:tblInd w:w="0" w:type="dxa"/>
        <w:tblLayout w:type="fixed"/>
        <w:tblCellMar>
          <w:top w:w="28" w:type="dxa"/>
          <w:left w:w="28" w:type="dxa"/>
          <w:bottom w:w="28" w:type="dxa"/>
          <w:right w:w="28" w:type="dxa"/>
        </w:tblCellMar>
      </w:tblPr>
      <w:tblGrid>
        <w:gridCol w:w="829"/>
        <w:gridCol w:w="731"/>
        <w:gridCol w:w="734"/>
        <w:gridCol w:w="109"/>
        <w:gridCol w:w="109"/>
        <w:gridCol w:w="109"/>
        <w:gridCol w:w="211"/>
        <w:gridCol w:w="721"/>
        <w:gridCol w:w="271"/>
        <w:gridCol w:w="109"/>
        <w:gridCol w:w="109"/>
        <w:gridCol w:w="109"/>
        <w:gridCol w:w="211"/>
        <w:gridCol w:w="721"/>
        <w:gridCol w:w="271"/>
        <w:gridCol w:w="109"/>
        <w:gridCol w:w="109"/>
        <w:gridCol w:w="109"/>
        <w:gridCol w:w="109"/>
        <w:gridCol w:w="1111"/>
        <w:gridCol w:w="218"/>
        <w:gridCol w:w="218"/>
        <w:gridCol w:w="316"/>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2022 to 2023 </w:t>
              <w:br/>
              <w:t>% Change</w:t>
            </w:r>
          </w:p>
        </w:tc>
        <w:tc>
          <w:tcPr>
            <w:tcW w:w="752" w:type="dxa"/>
            <w:gridSpan w:val="3"/>
            <w:tcBorders/>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vMerge w:val="continue"/>
            <w:tcBorders/>
            <w:tcMar>
              <w:top w:w="0" w:type="dxa"/>
              <w:left w:w="0" w:type="dxa"/>
              <w:bottom w:w="0" w:type="dxa"/>
              <w:right w:w="0" w:type="dxa"/>
            </w:tcMar>
            <w:vAlign w:val="center"/>
          </w:tcPr>
          <w:p>
            <w:pPr>
              <w:pStyle w:val="Normal"/>
              <w:bidi w:val="0"/>
              <w:jc w:val="left"/>
              <w:rPr/>
            </w:pPr>
            <w:r>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decreased by $8.3 million, or 18%, for the year ended December 31, 2023, driven by: a $3.9 million decrease in compensation and related expenses reflecting our previous cost-savings actions; a $2.1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decrease in stock-based compensation expense; a $1.0 million decrease in research and consulting expenses; and a $0.4 million decrease in professional fees.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6120" w:type="dxa"/>
        <w:jc w:val="left"/>
        <w:tblInd w:w="0" w:type="dxa"/>
        <w:tblLayout w:type="fixed"/>
        <w:tblCellMar>
          <w:top w:w="28" w:type="dxa"/>
          <w:left w:w="28" w:type="dxa"/>
          <w:bottom w:w="28" w:type="dxa"/>
          <w:right w:w="28" w:type="dxa"/>
        </w:tblCellMar>
      </w:tblPr>
      <w:tblGrid>
        <w:gridCol w:w="834"/>
        <w:gridCol w:w="735"/>
        <w:gridCol w:w="741"/>
        <w:gridCol w:w="109"/>
        <w:gridCol w:w="109"/>
        <w:gridCol w:w="109"/>
        <w:gridCol w:w="180"/>
        <w:gridCol w:w="181"/>
        <w:gridCol w:w="376"/>
        <w:gridCol w:w="133"/>
        <w:gridCol w:w="133"/>
        <w:gridCol w:w="133"/>
        <w:gridCol w:w="180"/>
        <w:gridCol w:w="181"/>
        <w:gridCol w:w="433"/>
        <w:gridCol w:w="133"/>
        <w:gridCol w:w="133"/>
        <w:gridCol w:w="133"/>
        <w:gridCol w:w="234"/>
        <w:gridCol w:w="234"/>
        <w:gridCol w:w="686"/>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2022 to 2023 </w:t>
              <w:br/>
              <w:t xml:space="preserve">% Change </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78,026</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111,437</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by $33.4 million, or 30%, for the year ended December 31, 2023, driven by: a $7.4 million decrease in transaction-related costs, certain litigation costs, and public company readiness costs; a $5.3 million decrease in stock-based compensation expense; a $5.2 million increase in sublease income, largely associated with the sublease of our former corporate headquarters which commenced in the third quarter of 2022; a $4.8 million decrease in professional fees; a $3.9 million decrease in insurance; a $2.7 million decrease in compensation expense reflecting our previous cost-savings actions; and a $1.5 million decrease in consulting expenses.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5895" w:type="dxa"/>
        <w:jc w:val="left"/>
        <w:tblInd w:w="0" w:type="dxa"/>
        <w:tblLayout w:type="fixed"/>
        <w:tblCellMar>
          <w:top w:w="28" w:type="dxa"/>
          <w:left w:w="28" w:type="dxa"/>
          <w:bottom w:w="28" w:type="dxa"/>
          <w:right w:w="28" w:type="dxa"/>
        </w:tblCellMar>
      </w:tblPr>
      <w:tblGrid>
        <w:gridCol w:w="833"/>
        <w:gridCol w:w="734"/>
        <w:gridCol w:w="742"/>
        <w:gridCol w:w="109"/>
        <w:gridCol w:w="109"/>
        <w:gridCol w:w="109"/>
        <w:gridCol w:w="150"/>
        <w:gridCol w:w="150"/>
        <w:gridCol w:w="376"/>
        <w:gridCol w:w="133"/>
        <w:gridCol w:w="133"/>
        <w:gridCol w:w="133"/>
        <w:gridCol w:w="150"/>
        <w:gridCol w:w="150"/>
        <w:gridCol w:w="376"/>
        <w:gridCol w:w="133"/>
        <w:gridCol w:w="133"/>
        <w:gridCol w:w="133"/>
        <w:gridCol w:w="225"/>
        <w:gridCol w:w="225"/>
        <w:gridCol w:w="659"/>
      </w:tblGrid>
      <w:tr>
        <w:trPr/>
        <w:tc>
          <w:tcPr>
            <w:tcW w:w="8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1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br/>
              <w:t>% 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0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11,179</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27,100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by $15.9 million, or 59%, for the year ended December 31, 2023, driven by: a $9.5 million decrease in compensation expense reflecting our previous cost-savings actions; a $4.0 million decrease in stock-based compensation expense; and a $1.3 million decrease in restructuring expenses.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6271" w:type="dxa"/>
        <w:jc w:val="left"/>
        <w:tblInd w:w="0" w:type="dxa"/>
        <w:tblLayout w:type="fixed"/>
        <w:tblCellMar>
          <w:top w:w="28" w:type="dxa"/>
          <w:left w:w="28" w:type="dxa"/>
          <w:bottom w:w="28" w:type="dxa"/>
          <w:right w:w="28" w:type="dxa"/>
        </w:tblCellMar>
      </w:tblPr>
      <w:tblGrid>
        <w:gridCol w:w="954"/>
        <w:gridCol w:w="841"/>
        <w:gridCol w:w="845"/>
        <w:gridCol w:w="109"/>
        <w:gridCol w:w="109"/>
        <w:gridCol w:w="109"/>
        <w:gridCol w:w="150"/>
        <w:gridCol w:w="150"/>
        <w:gridCol w:w="376"/>
        <w:gridCol w:w="133"/>
        <w:gridCol w:w="133"/>
        <w:gridCol w:w="133"/>
        <w:gridCol w:w="150"/>
        <w:gridCol w:w="150"/>
        <w:gridCol w:w="376"/>
        <w:gridCol w:w="133"/>
        <w:gridCol w:w="133"/>
        <w:gridCol w:w="133"/>
        <w:gridCol w:w="234"/>
        <w:gridCol w:w="234"/>
        <w:gridCol w:w="686"/>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2022 to 2023 </w:t>
              <w:br/>
              <w:t>% 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21,941</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24,263</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percentage of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decreased by $2.3 million, or 10%, for the year ended December 31, 2023, primarily driven by fewer fixed assets than the year-ago period, in part due to disposals resulting from the reduction of our real estate footprint.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Impairment expense:</w:t>
      </w:r>
    </w:p>
    <w:tbl>
      <w:tblPr>
        <w:tblW w:w="6165" w:type="dxa"/>
        <w:jc w:val="left"/>
        <w:tblInd w:w="0" w:type="dxa"/>
        <w:tblLayout w:type="fixed"/>
        <w:tblCellMar>
          <w:top w:w="28" w:type="dxa"/>
          <w:left w:w="28" w:type="dxa"/>
          <w:bottom w:w="28" w:type="dxa"/>
          <w:right w:w="28" w:type="dxa"/>
        </w:tblCellMar>
      </w:tblPr>
      <w:tblGrid>
        <w:gridCol w:w="846"/>
        <w:gridCol w:w="746"/>
        <w:gridCol w:w="748"/>
        <w:gridCol w:w="109"/>
        <w:gridCol w:w="109"/>
        <w:gridCol w:w="109"/>
        <w:gridCol w:w="203"/>
        <w:gridCol w:w="203"/>
        <w:gridCol w:w="331"/>
        <w:gridCol w:w="133"/>
        <w:gridCol w:w="133"/>
        <w:gridCol w:w="133"/>
        <w:gridCol w:w="180"/>
        <w:gridCol w:w="181"/>
        <w:gridCol w:w="376"/>
        <w:gridCol w:w="133"/>
        <w:gridCol w:w="133"/>
        <w:gridCol w:w="133"/>
        <w:gridCol w:w="269"/>
        <w:gridCol w:w="271"/>
        <w:gridCol w:w="686"/>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2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2022 to 2023 </w:t>
              <w:br/>
              <w:t>% 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2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66,464</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percentage of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we recorded aggregate non-cash impairment charges of $66.5 million, $64.3 million of which was related to goodwill impairment and the remaining $2.2 million was related to certain long-lived assets. Specifically, during the fourth quarter of 2022, we experienced a sustained decline in share price that pushed our market capitalization below the carrying value of our stockholders’ equity. We concluded the sustained decline in share price was a triggering event for potential impairment and performed a quantitative impairment assessment. Based on the results of the quantitative impairment assessment, we recognized a goodwill impairment charge of $64.3 million. The remaining $2.2 million impairment charge was a result of the sublease of our former corporate headquarters. Of the non-cash impairment charge, $1.4 million was allocated to right-of-use assets and the remaining $0.8 million was allocated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leasehold improvements. There were no such non-cash impairment charges recorded in 2023. Refer to Note 21 to the consolidated financial statements included elsewhere within this Annual Report on Form 10-K for additional details.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expense, net:</w:t>
      </w:r>
    </w:p>
    <w:tbl>
      <w:tblPr>
        <w:tblW w:w="6047" w:type="dxa"/>
        <w:jc w:val="left"/>
        <w:tblInd w:w="0" w:type="dxa"/>
        <w:tblLayout w:type="fixed"/>
        <w:tblCellMar>
          <w:top w:w="28" w:type="dxa"/>
          <w:left w:w="28" w:type="dxa"/>
          <w:bottom w:w="28" w:type="dxa"/>
          <w:right w:w="28" w:type="dxa"/>
        </w:tblCellMar>
      </w:tblPr>
      <w:tblGrid>
        <w:gridCol w:w="845"/>
        <w:gridCol w:w="746"/>
        <w:gridCol w:w="749"/>
        <w:gridCol w:w="109"/>
        <w:gridCol w:w="109"/>
        <w:gridCol w:w="109"/>
        <w:gridCol w:w="165"/>
        <w:gridCol w:w="165"/>
        <w:gridCol w:w="384"/>
        <w:gridCol w:w="133"/>
        <w:gridCol w:w="133"/>
        <w:gridCol w:w="133"/>
        <w:gridCol w:w="165"/>
        <w:gridCol w:w="165"/>
        <w:gridCol w:w="384"/>
        <w:gridCol w:w="133"/>
        <w:gridCol w:w="133"/>
        <w:gridCol w:w="133"/>
        <w:gridCol w:w="234"/>
        <w:gridCol w:w="234"/>
        <w:gridCol w:w="686"/>
      </w:tblGrid>
      <w:tr>
        <w:trPr/>
        <w:tc>
          <w:tcPr>
            <w:tcW w:w="84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2022 to 2023 </w:t>
              <w:br/>
              <w:t>% 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(2,990)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(3,076)</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percentage of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ans-serif" w:hAnsi="Times New Roman;sans-serif"/>
          <w:b w:val="false"/>
          <w:color w:val="000000"/>
          <w:sz w:val="20"/>
        </w:rPr>
        <w:t>Other expense, net decreased by $0.1 million, or 3%, for the year ended December 31, 2023, driven by a $5.7 million decrease in exchange gain (loss) (primarily unrealized) as the impact of foreign exchange rate fluctuations stabilized as compared to the year-ago period and a $0.4 million decrease in other expenses. These decreases were partially offset by a $4.8 million change in investment (principally consisting of a $3.5 million loss on investment during the year ended December 31, 2023 and a $1.3 million unrealized gain on investment during the year ended December 31, 2022)</w:t>
      </w:r>
      <w:r>
        <w:rPr>
          <w:color w:val="000000"/>
        </w:rPr>
        <w:t xml:space="preserve"> </w:t>
      </w:r>
      <w:r>
        <w:rPr>
          <w:rFonts w:ascii="Times New Roman;sans-serif" w:hAnsi="Times New Roman;sans-serif"/>
          <w:b w:val="false"/>
          <w:color w:val="000000"/>
          <w:sz w:val="20"/>
        </w:rPr>
        <w:t xml:space="preserve">and a $1.0 million decrease in other income.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6164" w:type="dxa"/>
        <w:jc w:val="left"/>
        <w:tblInd w:w="0" w:type="dxa"/>
        <w:tblLayout w:type="fixed"/>
        <w:tblCellMar>
          <w:top w:w="28" w:type="dxa"/>
          <w:left w:w="28" w:type="dxa"/>
          <w:bottom w:w="28" w:type="dxa"/>
          <w:right w:w="28" w:type="dxa"/>
        </w:tblCellMar>
      </w:tblPr>
      <w:tblGrid>
        <w:gridCol w:w="829"/>
        <w:gridCol w:w="732"/>
        <w:gridCol w:w="734"/>
        <w:gridCol w:w="109"/>
        <w:gridCol w:w="109"/>
        <w:gridCol w:w="109"/>
        <w:gridCol w:w="177"/>
        <w:gridCol w:w="177"/>
        <w:gridCol w:w="441"/>
        <w:gridCol w:w="133"/>
        <w:gridCol w:w="133"/>
        <w:gridCol w:w="133"/>
        <w:gridCol w:w="177"/>
        <w:gridCol w:w="177"/>
        <w:gridCol w:w="441"/>
        <w:gridCol w:w="133"/>
        <w:gridCol w:w="133"/>
        <w:gridCol w:w="133"/>
        <w:gridCol w:w="234"/>
        <w:gridCol w:w="234"/>
        <w:gridCol w:w="686"/>
      </w:tblGrid>
      <w:tr>
        <w:trPr/>
        <w:tc>
          <w:tcPr>
            <w:tcW w:w="8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2022 to 2023 </w:t>
              <w:br/>
              <w:t>% Change</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(16,085)</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(15,591)</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by $0.5 million, or 3%, for the year ended December 31, 2023, primarily driven by increased interest rates year-over-year. We expect interest expense, net to decrease in 2024 due to less debt outstanding as a result the repayments we made in connection with the Disposition.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 liabilities:</w:t>
      </w:r>
    </w:p>
    <w:tbl>
      <w:tblPr>
        <w:tblW w:w="7135" w:type="dxa"/>
        <w:jc w:val="left"/>
        <w:tblInd w:w="0" w:type="dxa"/>
        <w:tblLayout w:type="fixed"/>
        <w:tblCellMar>
          <w:top w:w="28" w:type="dxa"/>
          <w:left w:w="28" w:type="dxa"/>
          <w:bottom w:w="28" w:type="dxa"/>
          <w:right w:w="28" w:type="dxa"/>
        </w:tblCellMar>
      </w:tblPr>
      <w:tblGrid>
        <w:gridCol w:w="1247"/>
        <w:gridCol w:w="1100"/>
        <w:gridCol w:w="1103"/>
        <w:gridCol w:w="109"/>
        <w:gridCol w:w="109"/>
        <w:gridCol w:w="109"/>
        <w:gridCol w:w="203"/>
        <w:gridCol w:w="203"/>
        <w:gridCol w:w="331"/>
        <w:gridCol w:w="133"/>
        <w:gridCol w:w="133"/>
        <w:gridCol w:w="133"/>
        <w:gridCol w:w="133"/>
        <w:gridCol w:w="133"/>
        <w:gridCol w:w="331"/>
        <w:gridCol w:w="133"/>
        <w:gridCol w:w="133"/>
        <w:gridCol w:w="133"/>
        <w:gridCol w:w="269"/>
        <w:gridCol w:w="271"/>
        <w:gridCol w:w="686"/>
      </w:tblGrid>
      <w:tr>
        <w:trPr/>
        <w:tc>
          <w:tcPr>
            <w:tcW w:w="1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2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2022 to 2023 </w:t>
              <w:br/>
              <w:t>% Change</w:t>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5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4,543</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loss related to the change in fair value of warrant liabilities of $nil for the year ended December 31, 2023, compared to a gain of $4.5 million for the year ended December 31,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derivative liability:</w:t>
      </w:r>
    </w:p>
    <w:tbl>
      <w:tblPr>
        <w:tblW w:w="7167" w:type="dxa"/>
        <w:jc w:val="left"/>
        <w:tblInd w:w="0" w:type="dxa"/>
        <w:tblLayout w:type="fixed"/>
        <w:tblCellMar>
          <w:top w:w="28" w:type="dxa"/>
          <w:left w:w="28" w:type="dxa"/>
          <w:bottom w:w="28" w:type="dxa"/>
          <w:right w:w="28" w:type="dxa"/>
        </w:tblCellMar>
      </w:tblPr>
      <w:tblGrid>
        <w:gridCol w:w="1284"/>
        <w:gridCol w:w="1133"/>
        <w:gridCol w:w="1137"/>
        <w:gridCol w:w="109"/>
        <w:gridCol w:w="109"/>
        <w:gridCol w:w="109"/>
        <w:gridCol w:w="203"/>
        <w:gridCol w:w="203"/>
        <w:gridCol w:w="331"/>
        <w:gridCol w:w="133"/>
        <w:gridCol w:w="133"/>
        <w:gridCol w:w="133"/>
        <w:gridCol w:w="133"/>
        <w:gridCol w:w="133"/>
        <w:gridCol w:w="331"/>
        <w:gridCol w:w="133"/>
        <w:gridCol w:w="133"/>
        <w:gridCol w:w="133"/>
        <w:gridCol w:w="234"/>
        <w:gridCol w:w="234"/>
        <w:gridCol w:w="686"/>
      </w:tblGrid>
      <w:tr>
        <w:trPr/>
        <w:tc>
          <w:tcPr>
            <w:tcW w:w="128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2022 to 2023 </w:t>
              <w:br/>
              <w:t>% Change</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5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4,695</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a gain related to the change in fair value of the derivative liability of $0.2 million for the year ended December 31, 2023 compared to a gain of $4.7 million for the year ended December 31, 2022.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provision (benefit):</w:t>
      </w:r>
    </w:p>
    <w:tbl>
      <w:tblPr>
        <w:tblW w:w="5768"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133"/>
        <w:gridCol w:w="133"/>
        <w:gridCol w:w="331"/>
        <w:gridCol w:w="133"/>
        <w:gridCol w:w="133"/>
        <w:gridCol w:w="133"/>
        <w:gridCol w:w="133"/>
        <w:gridCol w:w="133"/>
        <w:gridCol w:w="331"/>
        <w:gridCol w:w="133"/>
        <w:gridCol w:w="133"/>
        <w:gridCol w:w="133"/>
        <w:gridCol w:w="234"/>
        <w:gridCol w:w="234"/>
        <w:gridCol w:w="686"/>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2022 to 2023 </w:t>
              <w:br/>
              <w:t xml:space="preserve">% Change </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1,602</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2,703</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recorded an income tax expense of $1.6 million related to federal, state, and foreign taxes. The Company’s effective tax rate of (2.7)% differs from the statutory rate of 21% primarily related to: a valuation allowance against net deferred tax assets that were not realizable on a more-likely-than-not basis; and an income tax provision for foreign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Company recorded an income tax expense of $2.7 million related to federal, state, and foreign taxes. The Company’s effective tax rate of (2.0)% differs from the statutory rate of 21% primarily related to: a valuation allowance against net deferred tax assets that were not realizable on a more-likely-than-not basis; impairment of non-deductible goodwill for which no tax benefit was provided; and an income tax provision for foreign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continued to maintain a valuation allowance against its U.S. and certain foreign deferred tax assets as the Company could not conclude that such assets will be realized on a more-likely-than-not basis. Any decline in the valuation allowance could have a favorable impact on our income tax provision and net income in the period in which such determination is made.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income from discontinued operations, net of taxes: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net (loss) income from discontinued operations decreased by $31.9 million, or 53%. The decrease was primarily due to the comparison against a $38.0 million non-cash goodwill impairment charge recorded during the year ended December 31, 2022, with no comparable expense in 2023. Additionally, gross margin from discontinued operations worsened from 28.3% in 2022 to 23.4% in 2023, partially offset by improvement in other expenses due to various cost-savings actions.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Measures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income from continuing operations, excluding the impact of net (loss) income attributable to noncontrolling interests, income tax provision (benefit), interest expense, net, other expense, net, depreciation and amortization, stock-based compensation, change in fair value of warrant liabilities, change in fair value of derivative liability, restructuring costs, impairment expense, transaction-related costs, certain litigation costs, public company readiness costs, and other non-cash and non-recurring items that management believes are not indicative of ongoing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Adjusted EBITDA provides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should not be considered a substitute for net (loss) income from continuing operations, net (loss) income, or net (loss) income attributable to BuzzFeed, Inc. that we have reported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Reconciliation from Net (loss) income from continuing operations to Adjusted EBITDA</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consolidated net income (loss) from continuing operations to Adjusted EBITDA for the periods presented:</w:t>
      </w:r>
    </w:p>
    <w:tbl>
      <w:tblPr>
        <w:tblW w:w="8198" w:type="dxa"/>
        <w:jc w:val="left"/>
        <w:tblInd w:w="0" w:type="dxa"/>
        <w:tblLayout w:type="fixed"/>
        <w:tblCellMar>
          <w:top w:w="28" w:type="dxa"/>
          <w:left w:w="28" w:type="dxa"/>
          <w:bottom w:w="28" w:type="dxa"/>
          <w:right w:w="28" w:type="dxa"/>
        </w:tblCellMar>
      </w:tblPr>
      <w:tblGrid>
        <w:gridCol w:w="1371"/>
        <w:gridCol w:w="1210"/>
        <w:gridCol w:w="1213"/>
        <w:gridCol w:w="109"/>
        <w:gridCol w:w="109"/>
        <w:gridCol w:w="109"/>
        <w:gridCol w:w="211"/>
        <w:gridCol w:w="796"/>
        <w:gridCol w:w="109"/>
        <w:gridCol w:w="109"/>
        <w:gridCol w:w="109"/>
        <w:gridCol w:w="109"/>
        <w:gridCol w:w="211"/>
        <w:gridCol w:w="901"/>
        <w:gridCol w:w="109"/>
        <w:gridCol w:w="109"/>
        <w:gridCol w:w="109"/>
        <w:gridCol w:w="109"/>
        <w:gridCol w:w="211"/>
        <w:gridCol w:w="721"/>
        <w:gridCol w:w="154"/>
      </w:tblGrid>
      <w:tr>
        <w:trPr/>
        <w:tc>
          <w:tcPr>
            <w:tcW w:w="137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2021</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Impairment expense</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Transaction-related costs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Litigation costs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Public company readiness costs</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231F20"/>
          <w:sz w:val="20"/>
          <w:shd w:fill="FFFFFF" w:val="clear"/>
        </w:rPr>
        <w:t xml:space="preserve">Refer to elsewhere above in Item 2. “Management’s Discussion and Analysis of Financial Condition and Results of Operations” herein for a discussion of the distinct restructuring activities during the years ended </w:t>
      </w:r>
      <w:r>
        <w:rPr>
          <w:rFonts w:ascii="Times New Roman;sans-serif" w:hAnsi="Times New Roman;sans-serif"/>
          <w:b w:val="false"/>
          <w:color w:val="000000"/>
          <w:sz w:val="20"/>
        </w:rPr>
        <w:t>December 31, 2023, 2022, and 2021.</w:t>
      </w:r>
      <w:r>
        <w:rPr>
          <w:color w:val="231F20"/>
          <w:shd w:fill="FFFFFF" w:val="clear"/>
        </w:rPr>
        <w:t xml:space="preserve"> </w:t>
      </w:r>
      <w:r>
        <w:rPr>
          <w:rFonts w:ascii="Times New Roman;sans-serif" w:hAnsi="Times New Roman;sans-serif"/>
          <w:b w:val="false"/>
          <w:color w:val="231F20"/>
          <w:sz w:val="20"/>
        </w:rPr>
        <w:t>We exclude restructuring expenses from our non-GAAP measures because we believe they do not reflect expected future operating expenses, they are not indicative of our core operating performance, and they are not meaningful in comparisons to our past operating performance.</w:t>
      </w:r>
    </w:p>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(2)</w:t>
      </w:r>
      <w:r>
        <w:rPr>
          <w:rFonts w:ascii="Times New Roman;sans-serif" w:hAnsi="Times New Roman;sans-serif"/>
          <w:b w:val="false"/>
          <w:color w:val="000000"/>
          <w:sz w:val="20"/>
        </w:rPr>
        <w:t xml:space="preserve">Reflects aggregate non-cash impairment expenses recorded during the year ended December 31, 2022 associated with goodwill impairment of $64.3 million and $2.2 million related to certain long-lived assets of our former corporate headquarters which was fully subleased during the third quarter of 2022. Refer to Note 21 to the consolidated financial statements included elsewhere in this Annual Report on Form 10-K for additional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(3)Reflects transaction-related costs and other items which are either not representative of our underlying operations or are incremental costs that result from an actual or contemplated transaction and include professional fees, integration expenses, and certain costs related to integrating and converging information technology systems.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(4)Reflects costs related to litigation that are outside the ordinary course of our business. We believe it is useful to exclude such charges because we do not consider such amounts to be part of the ongoing operations of our business and because of the singular nature of the claims underlying the matter.</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(5)Reflects one-time initial set-up costs associated with the establishment of our public company structure and processes.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are our cash and cash equivalents and cash generated from continuing operations. Our cash and cash equivalents consist of demand deposits with financial institutions and investments in money market funds. </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consolidated financial statements were issued (the “issuance date”), the significance of the following adverse conditions were evaluated in accordance with U.S. GAAP. The presence of the following risks and uncertainties associated with our financial condition may adversely affect our ability to sustain our operations over the next 12 months beyond the issuance date.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generally incurred significant losses and used net cash flows from operations to grow our owned and operated properties and our portfolio of iconic brands. During the year ended December 31, 2023, we incurred a net loss of $89.3 million (and a net loss of $60.3 million from continuing operations) and used net cash flows from operations of $6.1 million (and net cash provided by continuing operations was $0.6 million). Additionally, as of December 31, 2023, we had unrestricted cash and cash equivalents of $35.6 million to fund our operations and an accumulated deficit of $611.8 million.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in Note 22 to the consolidated financial statements included elsewhere within this Annual Report on Form 10-K, we repaid approximately $30.9 million of the Notes on March 7, 2024, leaving approximately $119.1 million aggregate principal of Notes outstanding as of March 7, 2024. As described in Note 9 to the consolidated financial statements included elsewhere within this Annual Report on Form 10-K, each holder of a Note has the right under the indenture governing the Notes to require us to repurchase, for cash, all or a portion of the Notes held by such holder (i) at any time on or after December 3, 2024,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Moreover, we will be required to repay the Notes, in cash, at their maturity, unless earlier converted, redeemed, or repurchased. On February 28, 2024, we amended the indenture governing the Notes to provide that, among other things, 95% of the net proceeds of future asset sales must be used to repay the Notes. In the event some or all of the holders of the Notes exercise their call rights, we currently do not have sufficient cash on hand or projected cash flows to fund the potential call. Our failure to comply with the provisions of the indenture governing the Notes, including our failure to repurchase the Notes, as required by the indenture, could trigger an event of default under the indenture, which would allow the holders of Notes to accelerate the maturity of the Notes and require us to repay the Notes prior to their maturity.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16 to the consolidated financial statements included elsewhere within this Annual Report on Form 10-K, our Class A common stock experienced a significant decline whereby the trading price remained below $1.00 per share for a sustained period during 2023 and has continued to remain below $1.00 as of the issuance date. However, in order to remain in compliance with Nasdaq listing requirements, our Class A common stock price must exceed $1.00 per share for a specified minimum period (i.e., at least 10 consecutive business days) (the “Bid Price Requirement”). As a result of the decline in our stock price, we received a notice of noncompliance from Nasdaq on May 31, 2023, notifying us that we had until November 28, 2023 in order to regain compliance. After receiving an extension from Nasdaq, we now have until May 28, 2024 in order to regain compliance with Nasdaq’s Bid Price Requirement. If we are not able to regain compliance and, as such, our Class A common stock is delisted from Nasdaq, we will be faced with a number of significant material adverse consequences, including limited availability of market quotations for our Class A common stock; limited news and analyst coverage; decreased ability to obtain additional financing or failure to comply with the covenants required by the Notes; limited liquidity for our stockholders due to thin trading; and a potential loss of confidence by investors, employees and other third parties who do business with us. In particular, under the indenture governing the Notes, the failure of our Class A common stock to remain listed would constitute a “fundamental change” which would require us to offer to repurchase the remaining outstanding Notes, for cash, at a price equal to 101% of the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amount plus accrued and unpaid interest. As of the issuance date we do not have available liquidity to repurchase the Notes upon a fundamental change. Our failure to repurchase the Notes as required by the indenture would constitute an event of default under the indenture.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address our capital needs, we may explore options to restructure our outstanding debt, and we are working with advisors to optimize our consolidated balance sheet. However, we can provide no assurance that we will generate sufficient cash inflows from operations, or that we will be successful in obtaining such new financing, or in optimizing our consolidated balance sheet in a manner necessary to fund our obligations as they become due over the next twelve months beyond the issuance date. Additionally, we may implement incremental cost savings actions and pursue additional sources of outside capital to supplement our funding obligations as they become due, which includes additional offerings of our Class A common stock under the at-the-market offering (refer to Note 11 to the consolidated financial statements included elsewhere within this Annual Report on Form 10-K for additional details). However, as of the issuance date, no additional sources of outside capital have been secured or were deemed probable of being secured, other than our at-the-market-offering, which is subject to the conditions contained in the At-The-Market Offering agreement dated June 20, 2023 with Craig-Hallum Capital Group LLC. We can provide no assurance we will successfully generate sufficient liquidity to fund our operations for the next 12 months beyond the issuance date, or if necessary, secure additional outside capital (including through our at-the-market-offering) or implement incremental cost savings.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on an ongoing basis, we are evaluating strategic changes to our operations, including asset divestitures, restructuring, or the discontinuance of unprofitable lines of business. Any such transaction could be material to our business, financial condition and results of operations. The nature and timing of any such changes depend on a variety of factors, including, as of the applicable time, our available cash, liquidity and operating performance; our commitments and obligations; our capital requirements; limitations imposed under our credit arrangements; and overall market conditions. As of the issuance date, we continue to work with our external advisors to optimize our consolidated balance sheet and evaluate our assets.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2020, we entered into a three-year $50.0 million revolving loan and standby letter of credit facility agreement (i.e., the Revolving Credit Facility). The Revolving Credit Facility, which was terminated on February 21, 2024, as described in further detail below, provided for the issuance of up to $15.5 million of standby letters of credit and aggregate borrowings under the Revolving Credit Facility were generally limited to 95% of qualifying investment grade accounts receivable and 90% of qualifying non-investment grade accounts receivable, subject to adjustment at the discretion of the lenders. The $15.5 million of standby letters of credit were issued during the three months ended March 31, 2021 in favor of certain of the Company’s landlords. The Revolving Credit Facility was amended and restated in connection with the closing of the Business Combination to, among other things, add the Company and certain other entities as guarantors. The Revolving Credit Facility was further amended and restated on December 15, 2022 to, among other things, extend the maturity date until December 30, 2025, replace the London Inter-Bank Offered Rate (“LIBOR”) rate with the Secured Overnight Financing Rate (“SOFR”) rate, and provide for an early termination fee of between 0.5% and 2% of the maximum facility loan amount. We incurred $0.2 million of debt issuance fees associated with the December 15, 2022 amendment. On May 10, 2023, the parties to the Revolving Credit Facility entered into a joinder agreement adding one of our Canadian subsidiaries as a borrower under the Revolving Credit Facility, granting the lenders under the Revolving Credit Facility a lien on that subsidiary’s collateral, and including that subsidiary’s receivables in the calculation of the borrowing base under the Revolving Credit Facility. The Revolving Credit Facility was further amended on each of June 29, 2023 and September 26, 2023 in a second and third amendment, respectively. As a result of these second and third amendments, the Revolving Credit Facility was amended to provide for, among other things: (i) permitted overadvances during the periods from June 29, 2023 through August 31, 2023 and September 26, 2023 through December 31, 2023; (ii) permitted overadvances of up to $7.4 million; (iii) an increase in the applicable margin only during the overadvance periods (ranging from 4.5% to 5% depending on the utilization of the facility, with the range reverting to 3.75% to 4.25% starting January 1, 2024); and (iv) a change in the definition of the term “SOFR Index.” We incurred $0.2 million of debt issuance fees associated with the June 29, 2023 amendment and $0.1 million of debt issuance fees associated with the September 26, 2023 amendment.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included covenants that, among other things, required us to maintain at least $25.0 million of unrestricted cash at all times and limited, under prescribed circumstances, our ability to incur additional indebtedness, pay dividends, hold unpermitted investments, or make material changes to the business. We were in compliance with the financial covenants under such facility as of December 31, 2023.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bore interest at the greater of 0.75% and the sum of the rate per annum for the forward-looking term rate for SOFR for a term of one (1) month, plus a margin, which, during the overadvance period ended December 31, 2023, ranged from 4.5% to 5% depending on the utilization of the facility, with the range reverting to 3.75% to 4.25% on January 1, 2024, depending on the level of the Company’s utilization of the facility (the implied interest rate was approximately 10% at December 31, 2023), and subject to a monthly minimum utilization of $15.0 million. The facility also included an unused commitment fee of 0.375%.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was secured by a first priority security interest on the Company’s and the other borrowers’ and guarantors’ cash, accounts receivable, books and records, and related assets.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outstanding borrowings of $33.8 million, outstanding letters of credit of $15.5 million, and remaining borrowing capacity of $0.7 million.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2024, a wholly-owned subsidiary of the Company entered into an Asset Purchase Agreement (the “Complex Sale Agreement”) with Commerce Media Holdings, LLC (“Commerce Media”), providing for the sale of certain assets relating to the business of Complex Networks (i.e., the Disposition). In connection with the Disposition, on February 21, 2024, the Company terminated the Revolving Credit Facility, except for the $15.5 million in letters of credit outstanding, which were cash collateralized in the amount of $17.1 million. Refer to Note 23 to the consolidated financial statements included elsewhere within this Annual Report on Form 10-K for further details on the termination.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Convertible Notes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in connection with the entry into the merger agreement pursuant to which the Business Combination was consummated, we entered into subscription agreements with certain investors to sell $150.0 million aggregate principal amount of Notes. In connection with the closing of the Business Combination, we issued, and those investors purchased, the Notes. The Notes are convertible into shares of our Class A common stock at an initial conversion price of $12.50 and bear interest at a rate of 8.50% per annum, payable semi-annually. The Notes mature on December 3, 2026. As of December 31 2023, the Notes were convertible into approximately 12,000,000 shares of our Class A common stock and, as of March 7, 2024, the Notes were convertible into approximately 9,528,000 shares of our Class A common stock.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at our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prior to December 3, 2024, we will be obligated to pay an amount in cash equal to 12 month’s interest declining ratably on a monthly basis to zero month’s interest, in each case, on the aggregate principal amount of Notes so converted. Without limiting a holder’s right to convert the Notes at its option, interest will cease to accrue on the Notes during any period in which we would otherwise be entitled to force conversion of the Notes, but are not permitted to do so solely due to the failure of a trading volume condition specified in the indenture governing the Notes.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holder of a Note will have the right under the indenture governing the Notes to require us to repurchase, for cash, all or a portion of the Notes held by such holder (i) at any time on or after December 3, 2024 (i.e., the third anniversary of the issuance of the Notes),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In addition, a failure to comply with the provisions of the indenture governing our Notes could trigger an event of default under the indenture, which would allow the holders of Notes to accelerate the maturity of the Notes and require us to repay the Notes prior to their maturity. Moreover, we will be required to repay the Notes, in cash, at their maturity, unless earlier converted, redeemed, or repurchased. We may not have enough available cash or be able to obtain financing at the time we are required to make repurchases of such Notes surrendered or pay cash with respect to such Notes being converted.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governing the Notes includes restrictive covenants that, among other things, limit our ability to incur additional debt or liens, make restricted payments or investments, dispose of significant assets, transfer specified intellectual property, or enter into transactions with affiliates.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2024, the indenture governing the Notes was amended to, among other things, provide that 95% of the net proceeds of future asset sales must be used to repay the Notes. Additionally, we repaid approximately $30.9 million of the Notes on March 7, 2024, leaving approximately $119.1 million aggregate principal amount of Notes outstanding as of March 7, 2024. Refer to Note 23 to the consolidated financial statements included elsewhere within this Annual Report on Form 10-K for details.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provided by (used in) operating, investing and financing activities from continuing operations were as follows for the periods presented:</w:t>
      </w:r>
    </w:p>
    <w:tbl>
      <w:tblPr>
        <w:tblW w:w="10205" w:type="dxa"/>
        <w:jc w:val="left"/>
        <w:tblInd w:w="0" w:type="dxa"/>
        <w:tblLayout w:type="fixed"/>
        <w:tblCellMar>
          <w:top w:w="28" w:type="dxa"/>
          <w:left w:w="28" w:type="dxa"/>
          <w:bottom w:w="28" w:type="dxa"/>
          <w:right w:w="28" w:type="dxa"/>
        </w:tblCellMar>
      </w:tblPr>
      <w:tblGrid>
        <w:gridCol w:w="2196"/>
        <w:gridCol w:w="1937"/>
        <w:gridCol w:w="1942"/>
        <w:gridCol w:w="109"/>
        <w:gridCol w:w="109"/>
        <w:gridCol w:w="109"/>
        <w:gridCol w:w="397"/>
        <w:gridCol w:w="397"/>
        <w:gridCol w:w="156"/>
        <w:gridCol w:w="131"/>
        <w:gridCol w:w="131"/>
        <w:gridCol w:w="131"/>
        <w:gridCol w:w="397"/>
        <w:gridCol w:w="397"/>
        <w:gridCol w:w="156"/>
        <w:gridCol w:w="131"/>
        <w:gridCol w:w="131"/>
        <w:gridCol w:w="131"/>
        <w:gridCol w:w="448"/>
        <w:gridCol w:w="450"/>
        <w:gridCol w:w="219"/>
      </w:tblGrid>
      <w:tr>
        <w:trPr/>
        <w:tc>
          <w:tcPr>
            <w:tcW w:w="2196"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2021</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operating activities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(22,043)</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(208,028)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181,823 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At-The-Market-Offering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21, 2023, we filed a shelf registration statement on Form S-3 (the “Shelf Registration Statement”) under which we may, from time to time, sell securities in one or more offerings having an aggregate offering price of up to $150.0 million. The Shelf Registration Statement was declared effective as of April 5, 2023. On June 20, 2023, we entered into an At-The-Market Offering agreement with Craig-Hallum Capital Group LLC pursuant to which we may, from time to time, sell up to 13,266,011 shares of our Class A common stock. As of December 31, 2023, we sold, in the aggregate, 2,069,538 shares of our Class A common stock, at an average price of $0.52 per share, for aggregate net proceeds of $0.9 million after deducting commissions and offering expenses. We used the aggregate net proceeds for general corporate purposes, and we have 11,196,473 remaining shares available under the At-The-Market-Offering agreement.</w:t>
      </w:r>
    </w:p>
    <w:p>
      <w:pPr>
        <w:pStyle w:val="TextBody"/>
        <w:bidi w:val="0"/>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net cash provided by operating activities from continuing operations was $0.6 million compared to $0.6 million for the year ended December 31, 2022. The change was primarily driven by: a $9.7 million improvement in net loss, adjusted for non-cash items; a $16.8 million increase in the change in accounts receivable; a $7.7 million increase in the change in accounts payable; and a $2.3 million increase in the change in prepaid expenses and other current assets and prepaid expenses and other assets. The increases were partially offset by: a $14.1 million decrease in the change in deferred revenue; a $12.4 million decrease in the change in accrued compensation; and a $9.8 million decrease in the change in accrued expenses, other current liabilities, and other liabilities.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net cash provided by operating activities from continuing operations was $0.6 million compared to net cash used in operating activities of $22.0 million for the year ended December 31, 2021. The change was primarily driven by: a $7.6 million increase in net (loss) income, adjusted for non-cash items; a $23.2 million decrease in lease liabilities; an $8.0 million decrease in the change in accrued compensation; and a $1.0 million decrease in accrued expenses, other current liabilities, and other liabilities. These were partially offset by: a $36.9 million increase in the change in accounts receivable; a $12.9 million increase in the change in deferred revenue; an $8.0 million increase in the change in accounts payable; and a $4.5 million increase in the change in deferred rent.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cash used in investing activities was $14.7 million, which principally consisted of $13.9 million of capital expenditures on internal-use software and $1.0 million of other capital expenditures, partially offset by $0.2 million in proceeds from the sale of an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cash used in investing activities was $17.3 million, which principally consisted of $12.4 million of capital expenditures on internal-use software and $5.4 million of other capital expenditures, partially offset by a $0.5 million in proceeds from the sale of an asset.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cash used in investing activities was $208.0 million, which consisted of $189.9 million of cash spent for business acquisitions, net of cash acquired, $11.0 million of expenditures on internal-use software and $5.0 million of other capital expenditures.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cash provided by financing activities was $0.8 million, which principally consisted of $2.1 million in borrowings from the Revolving Credit Facility and $0.9 million of net proceeds from the sale of common stock pursuant to our at-the-market offering after deducting commissions and fees, partially offset by a $1.8 million repayment on the Revolving Credit Facility and a $0.5 million payment for withholding taxes on the vesting of certain RSUs.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cash provided by financing activities was $3.2 million, which principally consisted of $5.0 million in borrowings from the Revolving Credit Facility, partially offset by the payment of $1.7 million for withholding taxes on the vesting of certain RSUs.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cash provided by financing activities was $181.8 million, which principally consisted of $143.8 million of net proceeds from the issuance of the Notes, $35.0 million of proceeds from the issuance of our common stock related to the equity investment in us by an affiliate of Verizon, $7.7 million of borrowings in excess of repayments from the Revolving Credit Facility, and $7.0 million of proceeds from exercise of stock options, partially offset by $11.7 million of proceeds from the reverse recapitalization, net of costs.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commitments consist of obligations for repayment of borrowings under the Notes, and obligations for office space under non-cancelable operating leases with various expiration dates through 2029. Refer to Notes 9, 15, and 16 to the consolidated financial statements included elsewhere in this Annual Report on Form 10-K for additional details regarding our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consolidated financial statements and related notes in accordance with GAAP. In doing so, we have to make estimates and assumptions that affect our reported amounts of assets, liabilities, revenues, expenses, and related disclosure.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an accounting judgment, estimate or assumption to be critical when (1) the estimate or judgment is complex in nature or requires a high degree of judgment and (2) the use of different judgments, estimates or assumptions could have a material impact on our consolidated financial statements. Our significant accounting policies are described in Note 2 to our consolidated financial statements included elsewhere in this Annual Report on Form 10-K. Our critical accounting policies and estimates are discussed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in a manner that depicts the transfer of promised goods or services to customers in an amount that reflects the consideration to which the entity expects to be entitled in exchange for those goods or services.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advertising revenue from managing a customer’s Internet advertising campaigns to target markets both via our proprietary sites and premium publishers. Our performance obligations typically consist of a promised number of ads delivered or a promised number of actions related to the ads (such as impressions or views). Advertising revenue is recognized in the period that the related views, impressions, or actions by users on advertisements are delivered. We derive a portion of our revenue from sales of advertising programmatically through third-party platforms and intermediaries.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Given the involvement of multiple parties in these transactions, significant judgment is required in identifying our customer and determining the transaction price. In some cases, we are unable to determine the transaction price paid by the end customer. In these cases, we recognize as revenue the net amount remitted to us by the intermediary.</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We generate revenue from creating content, including promotional content, customer advertising, feature films and content licensing. Our performance obligations consist of BuzzFeed-created content for use by our customers or the delivery of a promised number of actions related to the content (such as impressions or views). The revenue is recognized when the content, or the related action, is delivered. </w:t>
      </w:r>
      <w:r>
        <w:rPr>
          <w:rFonts w:ascii="Times New Roman;sans-serif" w:hAnsi="Times New Roman;sans-serif"/>
          <w:b w:val="false"/>
          <w:color w:val="000000"/>
          <w:sz w:val="20"/>
          <w:shd w:fill="FFFFFF" w:val="clear"/>
        </w:rPr>
        <w:t>Variable consideration, subject to constraint, may be included in the transaction price based on the expected value method when it is deemed probable of being realized based on historical experience and trends. We update our estimate of the transaction price each reporting period and the effect of variable consideration on the transaction price is recognized as an adjustment to revenue on a cumulative catch-up basis.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participate in multiple marketplace arrangements with third parties, whereby we provide affiliate links which redirect the audience to purchase products and/or services from the third parties. When the participant purchases a product and/or service, we receive a commission fee for that sale from the third parties. The revenue is recognized when a successful sale is made and the commission is earned.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acquisition of a company, we determine if the transaction is a business combination, which is accounted for using the acquisition method of accounting. Under the acquisition method, once control is obtained of a business, the assets acquired, and liabilities assumed, including amounts attributed to noncontrolling interests, are recorded at fair value. We use our best estimates and assumptions to assign fair value to the tangible and intangible assets acquired and liabilities assumed at the acquisition date. One of the most significant estimates relates to the determination of the fair value of these assets and liabilities. The determination of the fair values is based on estimates and judgments made by our management, including estimates of, among other things, expected future cash flows, discount rates, or expected costs to reproduce an asset. Our estimates of fair value are based upon assumptions we believe to be reasonable, but which are inherently uncertain and unpredictable. Measurement period adjustments are reflected at the time identified, up through the conclusion of the measurement period, which is the time at which all information for determination of the values of assets acquired and liabilities assumed is received, and is not to exceed one year from the acquisition date. We may record adjustments to the fair value of these tangible and intangible assets acquired and liabilities assumed, with the corresponding offset to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U.S. and multiple foreign jurisdictions. Significant judgment is required in determining our provision (benefit) and evaluating our income tax positions.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 tax benefit from an uncertain tax position only if it is more likely than not that the tax position will be sustained on examination by the taxing authorities, based on the technical merits of the position.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made a policy election to treat the income tax due on U.S. inclusion of the global intangible low taxed income (“GILTI”) provisions as a period expense when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 Based Compensation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based awards granted are measured based on the grant-date fair value.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stock options granted is estimated using the Black-Scholes option pricing model. The risk-free rate for the expected term of the option is based on the U.S. Treasury yield curve in effect at the time of grant. Because our common stock was not publicly traded prior to the Business Combination, we have historically estimated the expected volatility of our awards from the historical volatility of selected public companies within similar industries with comparable characteristics to us. We intend to continue to consistently apply this process using the same or similar companies to estimate the expected volatility until sufficient historical information regarding the volatility of the share price of our common stock becomes available. The expected dividend rate is zero based on the fact that we currently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history or expectation of paying cash dividends on our common stock. The expected term represents the period of time the stock options are expected to be outstanding and is based on the “simplified method.” Under the “simplified method,” the expected term of an option is presumed to be the mid-point between the vesting date and the end of the contractual term. We use the “simplified method” due to the lack of sufficient historical exercise data to provide a reasonable basis upon which to otherwise estimate the expected term of the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at the reporting unit level, which is an operating segment or one level below. We test goodwill for impairment annually as of October 1, or more frequently if an event occurs or if circumstances change that would more likely than not reduce the fair value of our reporting unit below its carrying value. We have determined we have one reporting unit for the purposes of allocating and testing goodwill.</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conducting our annual goodwill impairment assessment, we first review qualitative factors to determine whether it is more likely than not that the fair value of the reporting unit is less than its carrying amount. If the factors indicate that the fair value of the reporting unit is less than its carrying amount, we perform a quantitative assessment. A quantitative goodwill impairment test, when performed, includes estimating the fair value of a reporting unit using an income approach based on a discounted cash flow analysis and / or a market-based approach. A discounted cash flow analysis requires us to make various judgmental assumptions, including assumptions about the timing and amount of future cash flows, growth rates and discount rates. For the 2023 annual impairment test, we performed a quantitative assessment as of October 1, 2023 and concluded the fair value of our single reporting unit was greater than its carrying value. However, during the fourth quarter of 2023, we experienced a further sustained decline in share price whereby our market capitalization was below our carrying value and a there was a more-likely-than-not expectation of selling a portion of our single reporting unit (i.e., the Disposition, as discussed in Notes 22 and 23 to this Annual Report on Form 10-K). As such, we performed a quantitative impairment assessment as of December 31, 2023.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quantitative impairment assessment was performed as of December 31, 2023, utilizing an equal weighting of the income and market approaches. The results of our quantitative impairment test indicated that no impairment existed as the estimated fair value of the Company’s single reporting unit exceeded its carrying value by more than 10%. The determination of fair value under the discounted cash flow method relied on internal projections developed using a number of estimates and assumptions that are inherently subject to significant uncertainties. These estimates and assumptions include, but are not limited to, a discount rate and a terminal growth rate for cash flows. The key assumption in the market approach include determining a control premium, which was estimated using historical transactions over three years. Changes in these estimates or assumptions could materially affect the determination of fair value and the associated goodwill impairment assessment. Potential events and circumstances that could have an adverse impact on our estimates and assumptions include, but are not limited to, declining revenue, inability to improve profitability, continued increases in costs, and rising interest rates and other macroeconomic factors.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monitor and evaluate the carrying value of the reporting unit, and should facts and circumstances change, a non-cash impairment charge could be recorded in the future. Refer to Note 8 to the consolidated financial statements included elsewhere in this Annual Report on Form 10-K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review our property and equipment and capitalized software costs for impairment whenever events or changes in circumstances indicate that the carrying amount of such assets may not be recoverable. If circumstances require a long-lived asset group to be tested for possible impairment, we first compare undiscounted cash flows expected to be generated by the asset to its carrying value. If the carrying value of the long-lived asset is not recoverable on an undiscounted cash flow basis, an impairment is recognized to the extent the carrying value exceeds its fair value. Fair value is determined through various valuation techniques which may include discounted cash flow models, quoted market values and third-party independent appraisals, as considered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Assets Held for Sale and Discontinued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business is classified as held for sale when management having the authority to approve the action commits to a plan to sell the business, the sale is probable to occur during the next 12 months at a price that is reasonable in relation to its current fair value, and when certain other criteria are met. A business classified as held for sale is recorded at the lower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its carrying amount and (ii) estimated fair value less costs to sell. When the carrying amount of the business exceeds its estimated fair value less costs to sell, a loss is recognized and updated each reporting period as appropriate.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of businesses classified as held for sale are reported as discontinued operations if the disposal represents a strategic shift 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 consolidated statement of operations; and (iii) assets and liabilities are reported as held for sale in the consolidated balance sheets in the period in which the business is classified as held for sale.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concluded the assets of the Complex Networks business, excluding the First We Feast brand, met the criteria for classification as held for sale as of December 31, 2023. Additionally, we concluded the ultimate disposal will represent a strategic shift that will have a major effect on our operations. As such, the results of Complex Networks, excluding First We Feast, are presented as discontinued operations herein.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calculated an estimated loss on classification to held for sale of approximately $9.5 million to reflect the write-down of the carrying value to fair value less costs to sell. The fair value was determined by using market participant assumptions. Costs to sell included incremental, direct costs incurred to transact the sale. Refer to Notes 22 and 23 included elsewhere in this Annual Report on Form 10-K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Adopted and Issued Accounting Pronouncements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2 of our consolidated financial statements included elsewhere within this Annual Report on Form 10-K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consolidated financial statements of BuzzFeed may not be comparable to companies that comply with new or revised accounting standards as of public company effective dates.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under the JOBS Act until the earliest of: (i) the last day of our first fiscal year following the fifth anniversary of 890’s initial public offering (i.e., December 31, 2026); (ii) the last date of our fiscal year in which we have total annual gross revenue of at least $1.235 billion; (iii) the date on we are deemed to be a “large accelerated filer” under the rules of the U.S. Securities and Exchange Commission with at least $700.0 million of outstanding securities held by non-affiliates; and (iv) the date on which we have issued more than $1.0 billion in non-convertible debt securities during the previous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both within the U.S. and internationally, and we are exposed to market risks in the ordinary course of our business. These risks include primarily foreign currency exchange, interest rate fluctuation, and equity investment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transact business in various foreign currencies and obtain international revenue, as well as incur costs denominated in foreign currencies, primarily the British pound, Japanese yen, and Canadian dollar. This exposes us to the risk of fluctuations in foreign currency exchange rates. Accordingly, changes in exchange rates could negatively affect our revenue and results of operations as expressed in U.S. dollars. Fluctuations in foreign currency rates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Rate Fluctuation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interest rates relates primarily to the variable interest component on the Revolving Credit Facility, as well as interest earned and market value on money market funds included in our cash and cash equivalents. The effect of a hypothetical 10% change in interest rates applicable to our business would not have a material impact on our consolidated financial statements for the years ended December 31, 2023 and 2022. In February 2024, we terminated the Revolving Credit Facility; refer to Note 23 to our consolidated financial statements included elsewhere in this Annual Report on Form 10-K for additional details.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Equity Investment Risk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$0.8 million and $3.6 million at December 31, 2023 and 2022, respectively. Refer to Note 5 to the consolidated financial statements included elsewhere in this Annual Report on Form 10-K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6837" w:type="dxa"/>
        <w:jc w:val="left"/>
        <w:tblInd w:w="0" w:type="dxa"/>
        <w:tblLayout w:type="fixed"/>
        <w:tblCellMar>
          <w:top w:w="28" w:type="dxa"/>
          <w:left w:w="28" w:type="dxa"/>
          <w:bottom w:w="28" w:type="dxa"/>
          <w:right w:w="28" w:type="dxa"/>
        </w:tblCellMar>
      </w:tblPr>
      <w:tblGrid>
        <w:gridCol w:w="2340"/>
        <w:gridCol w:w="2057"/>
        <w:gridCol w:w="2068"/>
        <w:gridCol w:w="109"/>
        <w:gridCol w:w="109"/>
        <w:gridCol w:w="154"/>
      </w:tblGrid>
      <w:tr>
        <w:trPr/>
        <w:tc>
          <w:tcPr>
            <w:tcW w:w="2340"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aface49ba94afe80ef181e468a62f6_124">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No.34)</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6aface49ba94afe80ef181e468a62f6_124">
              <w:r>
                <w:rPr>
                  <w:rStyle w:val="InternetLink"/>
                  <w:rFonts w:ascii="Times New Roman;sans-serif" w:hAnsi="Times New Roman;sans-serif"/>
                  <w:b w:val="false"/>
                  <w:strike w:val="false"/>
                  <w:dstrike w:val="false"/>
                  <w:color w:val="000000"/>
                  <w:sz w:val="20"/>
                  <w:u w:val="none"/>
                  <w:effect w:val="none"/>
                </w:rPr>
                <w:t>72</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aface49ba94afe80ef181e468a62f6_127">
              <w:r>
                <w:rPr>
                  <w:rStyle w:val="InternetLink"/>
                  <w:rFonts w:ascii="Times New Roman;sans-serif" w:hAnsi="Times New Roman;sans-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6aface49ba94afe80ef181e468a62f6_127">
              <w:r>
                <w:rPr>
                  <w:rStyle w:val="InternetLink"/>
                  <w:rFonts w:ascii="Times New Roman;sans-serif" w:hAnsi="Times New Roman;sans-serif"/>
                  <w:b w:val="false"/>
                  <w:strike w:val="false"/>
                  <w:dstrike w:val="false"/>
                  <w:color w:val="000000"/>
                  <w:sz w:val="20"/>
                  <w:u w:val="none"/>
                  <w:effect w:val="none"/>
                </w:rPr>
                <w:t>74</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aface49ba94afe80ef181e468a62f6_130">
              <w:r>
                <w:rPr>
                  <w:rStyle w:val="InternetLink"/>
                  <w:rFonts w:ascii="Times New Roman;sans-serif" w:hAnsi="Times New Roman;sans-serif"/>
                  <w:b w:val="false"/>
                  <w:color w:val="0000FF"/>
                  <w:sz w:val="20"/>
                  <w:u w:val="single"/>
                </w:rPr>
                <w:t>Consolidated Statement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6aface49ba94afe80ef181e468a62f6_130">
              <w:r>
                <w:rPr>
                  <w:rStyle w:val="InternetLink"/>
                  <w:rFonts w:ascii="Times New Roman;sans-serif" w:hAnsi="Times New Roman;sans-serif"/>
                  <w:b w:val="false"/>
                  <w:strike w:val="false"/>
                  <w:dstrike w:val="false"/>
                  <w:color w:val="000000"/>
                  <w:sz w:val="20"/>
                  <w:u w:val="none"/>
                  <w:effect w:val="none"/>
                </w:rPr>
                <w:t>75</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aface49ba94afe80ef181e468a62f6_133">
              <w:r>
                <w:rPr>
                  <w:rStyle w:val="InternetLink"/>
                  <w:rFonts w:ascii="Times New Roman;sans-serif" w:hAnsi="Times New Roman;sans-serif"/>
                  <w:b w:val="false"/>
                  <w:color w:val="0000FF"/>
                  <w:sz w:val="20"/>
                  <w:u w:val="single"/>
                </w:rPr>
                <w:t>Consolidated Statements of Comprehensive (Loss)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6aface49ba94afe80ef181e468a62f6_133">
              <w:r>
                <w:rPr>
                  <w:rStyle w:val="InternetLink"/>
                  <w:rFonts w:ascii="Times New Roman;sans-serif" w:hAnsi="Times New Roman;sans-serif"/>
                  <w:b w:val="false"/>
                  <w:strike w:val="false"/>
                  <w:dstrike w:val="false"/>
                  <w:color w:val="000000"/>
                  <w:sz w:val="20"/>
                  <w:u w:val="none"/>
                  <w:effect w:val="none"/>
                </w:rPr>
                <w:t>76</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aface49ba94afe80ef181e468a62f6_136">
              <w:r>
                <w:rPr>
                  <w:rStyle w:val="InternetLink"/>
                  <w:rFonts w:ascii="Times New Roman;sans-serif" w:hAnsi="Times New Roman;sans-serif"/>
                  <w:b w:val="false"/>
                  <w:color w:val="0000FF"/>
                  <w:sz w:val="20"/>
                  <w:u w:val="single"/>
                </w:rPr>
                <w:t>Consolidated Statements of Stockholders’ Equity (Deficit)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6aface49ba94afe80ef181e468a62f6_136">
              <w:r>
                <w:rPr>
                  <w:rStyle w:val="InternetLink"/>
                  <w:rFonts w:ascii="Times New Roman;sans-serif" w:hAnsi="Times New Roman;sans-serif"/>
                  <w:b w:val="false"/>
                  <w:strike w:val="false"/>
                  <w:dstrike w:val="false"/>
                  <w:color w:val="000000"/>
                  <w:sz w:val="20"/>
                  <w:u w:val="none"/>
                  <w:effect w:val="none"/>
                </w:rPr>
                <w:t>77</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aface49ba94afe80ef181e468a62f6_139">
              <w:r>
                <w:rPr>
                  <w:rStyle w:val="InternetLink"/>
                  <w:rFonts w:ascii="Times New Roman;sans-serif" w:hAnsi="Times New Roman;sans-serif"/>
                  <w:b w:val="false"/>
                  <w:color w:val="0000FF"/>
                  <w:sz w:val="20"/>
                  <w:u w:val="single"/>
                </w:rPr>
                <w:t>Consolidated Statement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6aface49ba94afe80ef181e468a62f6_139">
              <w:r>
                <w:rPr>
                  <w:rStyle w:val="InternetLink"/>
                  <w:rFonts w:ascii="Times New Roman;sans-serif" w:hAnsi="Times New Roman;sans-serif"/>
                  <w:b w:val="false"/>
                  <w:strike w:val="false"/>
                  <w:dstrike w:val="false"/>
                  <w:color w:val="000000"/>
                  <w:sz w:val="20"/>
                  <w:u w:val="none"/>
                  <w:effect w:val="none"/>
                </w:rPr>
                <w:t>79</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aface49ba94afe80ef181e468a62f6_142">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6aface49ba94afe80ef181e468a62f6_142">
              <w:r>
                <w:rPr>
                  <w:rStyle w:val="InternetLink"/>
                  <w:rFonts w:ascii="Times New Roman;sans-serif" w:hAnsi="Times New Roman;sans-serif"/>
                  <w:b w:val="false"/>
                  <w:strike w:val="false"/>
                  <w:dstrike w:val="false"/>
                  <w:color w:val="000000"/>
                  <w:sz w:val="20"/>
                  <w:u w:val="none"/>
                  <w:effect w:val="none"/>
                </w:rPr>
                <w:t>81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BuzzFeed, Inc.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BuzzFeed, Inc. and subsidiaries (the "Company") as of December 31, 2023 and 2022, the related consolidated statements of operations and comprehensive (loss) income, stockholders' equity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Going Concern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assuming that the Company will continue as a going concern. As discussed in Note 1 to the financial statements, the Company has incurred recurring losses and used net cash flows from operations, and does not have sufficient cash on hand or projected cash flows to repurchase the Company’s convertible notes in the event required by the indenture, which raises substantial doubt about its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Emphasis of Matter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23 to the financial statements, on February 21, 2024, the Company completed the sale of certain assets relating to the business of Complex Networks.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 in Accounting Principle</w:t>
      </w:r>
    </w:p>
    <w:p>
      <w:pPr>
        <w:pStyle w:val="TextBody"/>
        <w:bidi w:val="0"/>
        <w:spacing w:lineRule="auto" w:line="288" w:before="240" w:after="283"/>
        <w:jc w:val="both"/>
        <w:rPr/>
      </w:pPr>
      <w:r>
        <w:rPr>
          <w:rFonts w:ascii="Times New Roman;sans-serif" w:hAnsi="Times New Roman;sans-serif"/>
          <w:b w:val="false"/>
          <w:color w:val="000000"/>
          <w:sz w:val="20"/>
        </w:rPr>
        <w:t xml:space="preserve">As discussed in Note 15 to the financial statements, the Company has changed its method of accounting for leases effective January 1, 2022 due to the adoption of Accounting Standards Codification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29,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14"/>
        </w:rPr>
      </w:pPr>
      <w:r>
        <w:rPr>
          <w:rFonts w:ascii="Times New Roman;sans-serif" w:hAnsi="Times New Roman;sans-serif"/>
          <w:b/>
          <w:color w:val="000000"/>
          <w:sz w:val="14"/>
        </w:rPr>
        <w:t>BUZZFEED, INC.</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CONSOLIDATED BALANCE SHEETS</w:t>
      </w:r>
    </w:p>
    <w:p>
      <w:pPr>
        <w:pStyle w:val="TextBody"/>
        <w:bidi w:val="0"/>
        <w:spacing w:lineRule="auto" w:line="288" w:before="0" w:after="0"/>
        <w:jc w:val="center"/>
        <w:rPr/>
      </w:pPr>
      <w:r>
        <w:rPr>
          <w:rFonts w:ascii="Times New Roman;sans-serif" w:hAnsi="Times New Roman;sans-serif"/>
          <w:b w:val="false"/>
          <w:color w:val="000000"/>
          <w:sz w:val="14"/>
        </w:rPr>
        <w:t>(</w:t>
      </w:r>
      <w:r>
        <w:rPr>
          <w:rFonts w:ascii="Times New Roman;sans-serif" w:hAnsi="Times New Roman;sans-serif"/>
          <w:b w:val="false"/>
          <w:i/>
          <w:color w:val="000000"/>
          <w:sz w:val="14"/>
        </w:rPr>
        <w:t>Dollars and shares in thousands, except per share amounts</w:t>
      </w:r>
      <w:r>
        <w:rPr>
          <w:rFonts w:ascii="Times New Roman;sans-serif" w:hAnsi="Times New Roman;sans-serif"/>
          <w:b w:val="false"/>
          <w:color w:val="000000"/>
          <w:sz w:val="14"/>
        </w:rPr>
        <w:t>)</w:t>
      </w:r>
    </w:p>
    <w:tbl>
      <w:tblPr>
        <w:tblW w:w="10205" w:type="dxa"/>
        <w:jc w:val="left"/>
        <w:tblInd w:w="0" w:type="dxa"/>
        <w:tblLayout w:type="fixed"/>
        <w:tblCellMar>
          <w:top w:w="28" w:type="dxa"/>
          <w:left w:w="28" w:type="dxa"/>
          <w:bottom w:w="28" w:type="dxa"/>
          <w:right w:w="28" w:type="dxa"/>
        </w:tblCellMar>
      </w:tblPr>
      <w:tblGrid>
        <w:gridCol w:w="2903"/>
        <w:gridCol w:w="2528"/>
        <w:gridCol w:w="2529"/>
        <w:gridCol w:w="181"/>
        <w:gridCol w:w="646"/>
        <w:gridCol w:w="109"/>
        <w:gridCol w:w="109"/>
        <w:gridCol w:w="109"/>
        <w:gridCol w:w="109"/>
        <w:gridCol w:w="181"/>
        <w:gridCol w:w="646"/>
        <w:gridCol w:w="155"/>
      </w:tblGrid>
      <w:tr>
        <w:trPr/>
        <w:tc>
          <w:tcPr>
            <w:tcW w:w="2903"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w:t>
              <w:br/>
              <w:t>2022</w:t>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55,774 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20"/>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 (net of allowance for doubtful accounts of $1,424, and $1,879 as at December 31, 2023 and 2022,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116,460 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20"/>
              <w:jc w:val="left"/>
              <w:rPr>
                <w:rFonts w:ascii="Times New Roman;sans-serif" w:hAnsi="Times New Roman;sans-serif"/>
                <w:b w:val="false"/>
                <w:color w:val="000000"/>
                <w:sz w:val="14"/>
              </w:rPr>
            </w:pPr>
            <w:r>
              <w:rPr>
                <w:rFonts w:ascii="Times New Roman;sans-serif" w:hAnsi="Times New Roman;sans-serif"/>
                <w:b w:val="false"/>
                <w:color w:val="000000"/>
                <w:sz w:val="14"/>
              </w:rPr>
              <w:t>Current assets of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current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198,607 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Property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17,774 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66,581 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software costs,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19,259 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Intangible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31,038 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57,562 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20"/>
              <w:jc w:val="left"/>
              <w:rPr>
                <w:rFonts w:ascii="Times New Roman;sans-serif" w:hAnsi="Times New Roman;sans-serif"/>
                <w:b w:val="false"/>
                <w:color w:val="000000"/>
                <w:sz w:val="14"/>
              </w:rPr>
            </w:pPr>
            <w:r>
              <w:rPr>
                <w:rFonts w:ascii="Times New Roman;sans-serif" w:hAnsi="Times New Roman;sans-serif"/>
                <w:b w:val="false"/>
                <w:color w:val="000000"/>
                <w:sz w:val="14"/>
              </w:rPr>
              <w:t>Noncurrent assets of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Total assets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411,476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529,972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4"/>
              </w:rPr>
            </w:pPr>
            <w:r>
              <w:rPr>
                <w:rFonts w:ascii="Times New Roman;sans-serif" w:hAnsi="Times New Roman;sans-serif"/>
                <w:b/>
                <w:color w:val="000000"/>
                <w:sz w:val="14"/>
              </w:rPr>
              <w:t>Liabilities and Stockholders' Equity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29,329 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26,357 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8,836 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31,052 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23,398 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20"/>
              <w:jc w:val="left"/>
              <w:rPr>
                <w:rFonts w:ascii="Times New Roman;sans-serif" w:hAnsi="Times New Roman;sans-serif"/>
                <w:b w:val="false"/>
                <w:color w:val="000000"/>
                <w:sz w:val="14"/>
              </w:rPr>
            </w:pPr>
            <w:r>
              <w:rPr>
                <w:rFonts w:ascii="Times New Roman;sans-serif" w:hAnsi="Times New Roman;sans-serif"/>
                <w:b w:val="false"/>
                <w:color w:val="000000"/>
                <w:sz w:val="14"/>
              </w:rPr>
              <w:t>Current liabilities of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current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122,872 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Noncurrent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59,315 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152,253 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Warrant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Noncurrent liabilities of discontinued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Total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300,293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335,418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Commitments and contingencies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9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Stockholders’ equity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0"/>
              <w:jc w:val="left"/>
              <w:rPr>
                <w:rFonts w:ascii="Times New Roman;sans-serif" w:hAnsi="Times New Roman;sans-serif"/>
                <w:b w:val="false"/>
                <w:color w:val="000000"/>
                <w:sz w:val="14"/>
              </w:rPr>
            </w:pPr>
            <w:r>
              <w:rPr>
                <w:rFonts w:ascii="Times New Roman;sans-serif" w:hAnsi="Times New Roman;sans-serif"/>
                <w:b w:val="false"/>
                <w:color w:val="000000"/>
                <w:sz w:val="14"/>
              </w:rPr>
              <w:t>Class A Common stock, $0.0001 par value; 700,000 shares authorized; 140,138 and 126,387 shares issued and outstanding at December 31, 2023 and 2022,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20"/>
              <w:jc w:val="left"/>
              <w:rPr>
                <w:rFonts w:ascii="Times New Roman;sans-serif" w:hAnsi="Times New Roman;sans-serif"/>
                <w:b w:val="false"/>
                <w:color w:val="000000"/>
                <w:sz w:val="14"/>
              </w:rPr>
            </w:pPr>
            <w:r>
              <w:rPr>
                <w:rFonts w:ascii="Times New Roman;sans-serif" w:hAnsi="Times New Roman;sans-serif"/>
                <w:b w:val="false"/>
                <w:color w:val="000000"/>
                <w:sz w:val="14"/>
              </w:rPr>
              <w:t>Class B Common stock, $0.0001 par value; 20,000 shares authorized; 5,474 and 6,678 shares issued and outstanding at December 31, 2023 and 2022,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20"/>
              <w:jc w:val="left"/>
              <w:rPr>
                <w:rFonts w:ascii="Times New Roman;sans-serif" w:hAnsi="Times New Roman;sans-serif"/>
                <w:b w:val="false"/>
                <w:color w:val="000000"/>
                <w:sz w:val="14"/>
              </w:rPr>
            </w:pPr>
            <w:r>
              <w:rPr>
                <w:rFonts w:ascii="Times New Roman;sans-serif" w:hAnsi="Times New Roman;sans-serif"/>
                <w:b w:val="false"/>
                <w:color w:val="000000"/>
                <w:sz w:val="14"/>
              </w:rPr>
              <w:t>Class C Common stock, $0.0001 par value; 10,000 shares authorized; 0 and 6,478 shares issued and outstanding at December 31, 2023 and 2022,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Additional paid-in capital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716,233 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Accumulated deficit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(611,768)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(523,063)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Accumulated 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Total BuzzFeed, Inc. stockholders’ equity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191,217 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Total stockholders’ equity</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194,554 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4"/>
              </w:rPr>
            </w:pPr>
            <w:r>
              <w:rPr>
                <w:rFonts w:ascii="Times New Roman;sans-serif" w:hAnsi="Times New Roman;sans-serif"/>
                <w:b/>
                <w:color w:val="000000"/>
                <w:sz w:val="14"/>
              </w:rPr>
              <w:t>Total liabilities and stockholders'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411,476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529,972</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i/>
          <w:color w:val="000000"/>
          <w:sz w:val="14"/>
        </w:rPr>
      </w:pPr>
      <w:r>
        <w:rPr>
          <w:rFonts w:ascii="Times New Roman;sans-serif" w:hAnsi="Times New Roman;sans-serif"/>
          <w:b w:val="false"/>
          <w:i/>
          <w:color w:val="000000"/>
          <w:sz w:val="14"/>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Dollars and shares in thousands, except per share amounts</w:t>
      </w:r>
      <w:r>
        <w:rPr>
          <w:rFonts w:ascii="Times New Roman;sans-serif" w:hAnsi="Times New Roman;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2281"/>
        <w:gridCol w:w="1859"/>
        <w:gridCol w:w="1874"/>
        <w:gridCol w:w="211"/>
        <w:gridCol w:w="826"/>
        <w:gridCol w:w="109"/>
        <w:gridCol w:w="109"/>
        <w:gridCol w:w="109"/>
        <w:gridCol w:w="109"/>
        <w:gridCol w:w="211"/>
        <w:gridCol w:w="878"/>
        <w:gridCol w:w="109"/>
        <w:gridCol w:w="109"/>
        <w:gridCol w:w="109"/>
        <w:gridCol w:w="109"/>
        <w:gridCol w:w="211"/>
        <w:gridCol w:w="826"/>
        <w:gridCol w:w="156"/>
      </w:tblGrid>
      <w:tr>
        <w:trPr/>
        <w:tc>
          <w:tcPr>
            <w:tcW w:w="228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income from continuing operations before income taxes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 (benefit)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continuing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discontinued operations,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the redeemable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the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income attributable to BuzzFeed, Inc.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 attributable to holders of Class A, Class B and Class C common stock:</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 per Class A, Class B and Class C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27,048</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(LOSS) INCOME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26"/>
        <w:gridCol w:w="1956"/>
        <w:gridCol w:w="1954"/>
        <w:gridCol w:w="211"/>
        <w:gridCol w:w="791"/>
        <w:gridCol w:w="109"/>
        <w:gridCol w:w="109"/>
        <w:gridCol w:w="109"/>
        <w:gridCol w:w="109"/>
        <w:gridCol w:w="211"/>
        <w:gridCol w:w="896"/>
        <w:gridCol w:w="109"/>
        <w:gridCol w:w="109"/>
        <w:gridCol w:w="109"/>
        <w:gridCol w:w="109"/>
        <w:gridCol w:w="211"/>
        <w:gridCol w:w="721"/>
        <w:gridCol w:w="156"/>
      </w:tblGrid>
      <w:tr>
        <w:trPr/>
        <w:tc>
          <w:tcPr>
            <w:tcW w:w="2226"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6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income </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income </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redeemable noncontrolling interest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attributable to noncontrolling interests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attributable to noncontrolling interests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attributable to BuzzFeed,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tbl>
      <w:tblPr>
        <w:tblW w:w="13305" w:type="dxa"/>
        <w:jc w:val="left"/>
        <w:tblInd w:w="0" w:type="dxa"/>
        <w:tblLayout w:type="fixed"/>
        <w:tblCellMar>
          <w:top w:w="28" w:type="dxa"/>
          <w:left w:w="28" w:type="dxa"/>
          <w:bottom w:w="28" w:type="dxa"/>
          <w:right w:w="28" w:type="dxa"/>
        </w:tblCellMar>
      </w:tblPr>
      <w:tblGrid>
        <w:gridCol w:w="571"/>
        <w:gridCol w:w="172"/>
        <w:gridCol w:w="173"/>
        <w:gridCol w:w="233"/>
        <w:gridCol w:w="233"/>
        <w:gridCol w:w="168"/>
        <w:gridCol w:w="109"/>
        <w:gridCol w:w="109"/>
        <w:gridCol w:w="109"/>
        <w:gridCol w:w="166"/>
        <w:gridCol w:w="406"/>
        <w:gridCol w:w="109"/>
        <w:gridCol w:w="109"/>
        <w:gridCol w:w="109"/>
        <w:gridCol w:w="109"/>
        <w:gridCol w:w="203"/>
        <w:gridCol w:w="203"/>
        <w:gridCol w:w="151"/>
        <w:gridCol w:w="109"/>
        <w:gridCol w:w="109"/>
        <w:gridCol w:w="109"/>
        <w:gridCol w:w="192"/>
        <w:gridCol w:w="225"/>
        <w:gridCol w:w="109"/>
        <w:gridCol w:w="109"/>
        <w:gridCol w:w="109"/>
        <w:gridCol w:w="109"/>
        <w:gridCol w:w="240"/>
        <w:gridCol w:w="241"/>
        <w:gridCol w:w="151"/>
        <w:gridCol w:w="109"/>
        <w:gridCol w:w="109"/>
        <w:gridCol w:w="109"/>
        <w:gridCol w:w="166"/>
        <w:gridCol w:w="406"/>
        <w:gridCol w:w="109"/>
        <w:gridCol w:w="109"/>
        <w:gridCol w:w="109"/>
        <w:gridCol w:w="109"/>
        <w:gridCol w:w="166"/>
        <w:gridCol w:w="526"/>
        <w:gridCol w:w="109"/>
        <w:gridCol w:w="109"/>
        <w:gridCol w:w="109"/>
        <w:gridCol w:w="109"/>
        <w:gridCol w:w="166"/>
        <w:gridCol w:w="541"/>
        <w:gridCol w:w="109"/>
        <w:gridCol w:w="109"/>
        <w:gridCol w:w="109"/>
        <w:gridCol w:w="109"/>
        <w:gridCol w:w="218"/>
        <w:gridCol w:w="554"/>
        <w:gridCol w:w="144"/>
        <w:gridCol w:w="109"/>
        <w:gridCol w:w="109"/>
        <w:gridCol w:w="109"/>
        <w:gridCol w:w="166"/>
        <w:gridCol w:w="541"/>
        <w:gridCol w:w="109"/>
        <w:gridCol w:w="109"/>
        <w:gridCol w:w="109"/>
        <w:gridCol w:w="109"/>
        <w:gridCol w:w="212"/>
        <w:gridCol w:w="519"/>
        <w:gridCol w:w="140"/>
        <w:gridCol w:w="327"/>
        <w:gridCol w:w="166"/>
        <w:gridCol w:w="541"/>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9" w:type="dxa"/>
            <w:gridSpan w:val="6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Stockholders’ of BuzzFeed, Inc.</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Additional</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Paid-in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 xml:space="preserve">Accumulated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 xml:space="preserve">Other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Comprehensive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Total</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BuzzFeed, Inc.</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Stockholders'</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Noncontrolling</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Total</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Stockholders’</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 at January 1, 2021</w:t>
            </w:r>
          </w:p>
        </w:tc>
        <w:tc>
          <w:tcPr>
            <w:tcW w:w="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(346,818)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(3,359)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(313,803)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(313,803)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24,940 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HuffPost Acquisition</w:t>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2,122 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26,186 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Stock-based compensation</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23,565 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in connection with share-based plans</w:t>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Merger of BuzzFeed Japan and HuffPost Japan</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Disposition of subsidiaries</w:t>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shares</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Reverse recapitalization, net of transaction costs</w:t>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473,704 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2"/>
              </w:rPr>
            </w:pPr>
            <w:r>
              <w:rPr>
                <w:rFonts w:ascii="Times New Roman;sans-serif" w:hAnsi="Times New Roman;sans-serif"/>
                <w:b w:val="false"/>
                <w:color w:val="000000"/>
                <w:sz w:val="12"/>
              </w:rPr>
              <w:t>Shares issued for Complex Networks Acquisition</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96,200 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loss</w:t>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 at December 31, 2021</w:t>
            </w:r>
          </w:p>
        </w:tc>
        <w:tc>
          <w:tcPr>
            <w:tcW w:w="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116,175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695,869 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(322,106)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(3,233)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370,543 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2,044 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372,587 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(200,957)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(200,957)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(201,490)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Stock-based compensation</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in connection with share-based plans</w:t>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Shares withheld for employee taxes</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(1,698)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loss</w:t>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Reclassification of noncontrolling interest (see Note 10)</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2,458 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Class B common stock to Class A common stock</w:t>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 at December 31, 2022</w:t>
            </w:r>
          </w:p>
        </w:tc>
        <w:tc>
          <w:tcPr>
            <w:tcW w:w="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716,233 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(523,063)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(1,968)</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191,217 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3,337 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194,554 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Cumulative effect of accounting change (see Note 2)</w:t>
            </w:r>
          </w:p>
        </w:tc>
        <w:tc>
          <w:tcPr>
            <w:tcW w:w="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(89,322)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Stock-based compensation</w:t>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in connection with share-based plans</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Shares withheld for employee taxes</w:t>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in connection with at-the-market offering, net of issuance costs</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loss</w:t>
            </w:r>
          </w:p>
        </w:tc>
        <w:tc>
          <w:tcPr>
            <w:tcW w:w="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Class B common stock to Class A common stock</w:t>
            </w:r>
          </w:p>
        </w:tc>
        <w:tc>
          <w:tcPr>
            <w:tcW w:w="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Class C common stock to Class A common stock</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Balance at December 31, 2023</w:t>
            </w:r>
          </w:p>
        </w:tc>
        <w:tc>
          <w:tcPr>
            <w:tcW w:w="6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140,138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723,081 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(611,768)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(2,500)</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108,828 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2,355 </w:t>
            </w:r>
          </w:p>
        </w:tc>
        <w:tc>
          <w:tcPr>
            <w:tcW w:w="1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111,183 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480"/>
        <w:gridCol w:w="2162"/>
        <w:gridCol w:w="2182"/>
        <w:gridCol w:w="181"/>
        <w:gridCol w:w="597"/>
        <w:gridCol w:w="109"/>
        <w:gridCol w:w="109"/>
        <w:gridCol w:w="109"/>
        <w:gridCol w:w="109"/>
        <w:gridCol w:w="181"/>
        <w:gridCol w:w="672"/>
        <w:gridCol w:w="109"/>
        <w:gridCol w:w="109"/>
        <w:gridCol w:w="109"/>
        <w:gridCol w:w="109"/>
        <w:gridCol w:w="181"/>
        <w:gridCol w:w="541"/>
        <w:gridCol w:w="156"/>
      </w:tblGrid>
      <w:tr>
        <w:trPr/>
        <w:tc>
          <w:tcPr>
            <w:tcW w:w="248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Operating activities:</w:t>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(loss) income </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loss (income) from discontinued operations, net of tax</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 from continuing operations</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income from continuing operations to net cash (used in) provided by operating activities:</w:t>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loss on foreign currency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based compensation</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23,565 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warrants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derivative liability</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costs allocated to derivative liability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debt discount and deferred issuance costs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disposition of subsidiaries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loss on disposition of assets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(gain) on investment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Provision for doubtful accounts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Impairment expense</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Noncash lease expense</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operating assets and liabilities:</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current assets and prepaid expenses and other assets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rent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compensation</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Accrued expenses, other current liabilities and other liabilities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Lease liabilities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revenue</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provided by (used in) operating activities from continuing operations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(22,043)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provided by operating activities from discontinued operations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flow (used in) provided by operating activities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Investing activities: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Business acquisitions, net of cash acquired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(189,885)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 expenditures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Capitalization of internal-use software</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 of asset</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of disposed subsidiaries, less proceeds on disposition</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used in investing activities from continuing operations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(used in) provided by investing activities from discontinued operations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used in investing activities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Financing activities: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Proceeds from reverse recapitalization, net of costs </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common stock</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Payment for shares withheld for employee taxes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Deferred reverse recapitalization costs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convertible notes, net of issuance costs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143,806 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exercise of stock options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issuance of common stock in connection with the at-the-market offering, net of issuance costs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Borrowings on Revolving Credit Facility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on Revolving Credit Facility</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provided by financing activities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181,823 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tbl>
      <w:tblPr>
        <w:tblW w:w="7451" w:type="dxa"/>
        <w:jc w:val="left"/>
        <w:tblInd w:w="0" w:type="dxa"/>
        <w:tblLayout w:type="fixed"/>
        <w:tblCellMar>
          <w:top w:w="28" w:type="dxa"/>
          <w:left w:w="28" w:type="dxa"/>
          <w:bottom w:w="28" w:type="dxa"/>
          <w:right w:w="28" w:type="dxa"/>
        </w:tblCellMar>
      </w:tblPr>
      <w:tblGrid>
        <w:gridCol w:w="1542"/>
        <w:gridCol w:w="1353"/>
        <w:gridCol w:w="1364"/>
        <w:gridCol w:w="181"/>
        <w:gridCol w:w="541"/>
        <w:gridCol w:w="109"/>
        <w:gridCol w:w="109"/>
        <w:gridCol w:w="109"/>
        <w:gridCol w:w="109"/>
        <w:gridCol w:w="181"/>
        <w:gridCol w:w="541"/>
        <w:gridCol w:w="109"/>
        <w:gridCol w:w="109"/>
        <w:gridCol w:w="109"/>
        <w:gridCol w:w="109"/>
        <w:gridCol w:w="181"/>
        <w:gridCol w:w="541"/>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Effect of currency translation on cash and cash equivalents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decrease in cash and cash equivalents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Cash, cash and cash equivalents and restricted cash at beginning of year </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106,126 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Cash, cash and cash equivalents and restricted cash at end of year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79,733 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(Tabular amounts in thousands, except per share amounts)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Description of the Business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BuzzFeed, Inc. (referred to herein, collectively with its subsidiaries, as “BuzzFeed” or the “Company”) is a premier digital media company for the most diverse, most online, and most socially connected generations the world has ever seen. Across food, news, pop culture and commerce, our brands drive conversation and inspire what audiences watch, read, and buy now — and into the future. The Company’s portfolio of iconic, globally-loved brands includes BuzzFeed, HuffPost, Tasty, and First We Feast (including Hot Ones). BuzzFeed derives its revenue primarily from advertising, content, and commerce and other sold to leading brands. The Company has one reportable segment.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and corresponding capital amounts and earnings per share related to Legacy BuzzFeed redeemable convertible preferred stock (other than Series F Preferred Stock and Series G Preferred Stock) and Legacy BuzzFeed common stock prior to the Business Combination were retroactively recast as shares reflecting the Exchange Ratio of 0.306 established in the Business Combination. Shares of Legacy BuzzFeed Series F Preferred Stock and Series G Preferred Stock were restated based on the exchange ratio into 30,880,000 shares of BuzzFeed Class A common stock established in the Business Combination.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pursuant to subscription agreements entered into in connection with the entry into the merger agreement pursuant to which the Business Combination was consummated, the Company issued, and certain investors purchased, $150.0 million aggregate principal amount of unsecured convertible notes due 2026 (the “Notes”) concurrently with the closing of the Business Combination. As a result of the sale of certain assets relating to the business of Complex Networks, as discussed within Notes 22 and 23 herein (the “Disposition”), the Company repaid approximately $30.9 million of the Notes on March 7, 2024, leaving approximately $119.1 million aggregate principal amount of Notes outstanding as of March 7, 2024.</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Going Concern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consolidated financial statements were issued (the “issuance date”), the significance of the following adverse conditions were evaluated in accordance with U.S. GAAP. The presence of the following risks and uncertainties associated with the Company’s financial condition may adversely affect the Company’s ability to sustain its operations over the next 12 months beyond the issuance date.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its inception, the Company has generally incurred significant losses and used net cash flows from operations to grow its owned and operated properties and its portfolio of iconic brands. During the year ended December 31, 2023, the Company incurred a net loss of $89.3 million (and a net loss of $60.3 million from continuing operations) and used net cash flows from operations of $6.1 million (and net cash provided by continuing operations was $0.6 million). Additionally, as of December 31, 2023, the Company had unrestricted cash and cash equivalents of $35.6 million to fund its operations and an accumulated deficit of $611.8 million.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22 herein, the Company repaid approximately $30.9 million of the Notes on March 7, 2024, leaving approximately $119.1 million aggregate principal of Notes outstanding as of March 7, 2024. As described in Note 9 herein, each holder of a Note has the right under the indenture governing the Notes to require the Company to repurchase, for cash, all or a portion of the Notes held by such holder (i) at any time on or after December 3, 2024,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Moreover, the Company will be required to repay the Notes, in cash, at their maturity, unless earlier converted, redeemed, or repurchased. On February 28, 2024, the Company amended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indenture governing the Notes to provide that, among other things, 95% of the net proceeds of future asset sales must be used to repay the Notes. In the event some or all of the holders of the Notes exercise their call rights, the Company currently does not have sufficient cash on hand or projected cash flows to fund the potential call. The Company’s failure to comply with the provisions of the indenture governing the Notes, including the Company’s failure to repurchase the Notes, as required by the indenture, could trigger an event of default under the indenture, which would allow the holders of Notes to accelerate the maturity of the Notes and require the Company to repay the Notes prior to their maturity.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16 herein, the Company’s Class A common stock experienced a significant decline whereby the trading price remained below $1.00 per share for a sustained period during 2023 and has continued to remain below $1.00 as of the issuance date. However, in order to remain in compliance with Nasdaq market listing requirements, the Company’s Class A common stock price must exceed $1.00 per share for a specified minimum period (i.e., at least 10 consecutive business days) (the “Bid Price Requirement”). As a result of the decline in its stock price, the Company received a notice of noncompliance from Nasdaq on May 31, 2023, notifying the Company that it had until November 28, 2023 in order to regain compliance. After receiving an extension from Nasdaq, the Company now has until May 28, 2024 in order to regain compliance with Nasdaq’s Bid Price Requirement. If the Company is not able to regain compliance and, as such, the Company’s Class A common stock is delisted from Nasdaq, the Company will be faced with a number of significant material adverse consequences, including limited availability of market quotations for its Class A common stock; limited news and analyst coverage; decreased ability to obtain additional financing or failure to comply with the covenants required by the Notes; limited liquidity for its stockholders due to thin trading; and a potential loss of confidence by investors, employees and other third parties who do business with the Company. In particular, under the indenture governing the Notes, the failure of the Company’s Class A common stock to remain listed would constitute a “fundamental change” which would require the Company to offer to repurchase the remaining outstanding Notes, for cash, at a repurchase price equal to 101% of par plus accrued and unpaid interest. As of the issuance date, the Company does not have available liquidity to repurchase the Notes upon a fundamental change. The Company’s failure to repurchase the Notes as required by the indenture would constitute an event of default under the indenture.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address its capital needs, the Company may explore options to restructure its outstanding debt, and is working with advisors to optimize its consolidated balance sheet. However, the Company can provide no assurance that it will generate sufficient cash inflows from operations, or that it will be successful in obtaining such new financing, or in optimizing its consolidated balance sheet in a manner necessary to fund its obligations as they become due over the next twelve months beyond the issuance date. Additionally, the Company may implement incremental cost savings actions and pursue additional sources of outside capital to supplement its funding obligations as they become due, which includes additional offerings of its Class A common stock under the at-the-market offering (refer to Note 11 herein for additional details). However, as of the issuance date, no additional sources of outside capital have been secured or were deemed probable of being secured, other than the Company’s at-the-market-offering, which is subject to the conditions contained in the At-The-Market Offering agreement dated June 20, 2023 with Craig-Hallum Capital Group LLC. The Company can provide no assurance it will successfully generate sufficient liquidity to fund its operations for the next 12 months beyond the issuance date, or if necessary, secure additional outside capital (including through the Company’s at-the-market-offering) or implement incremental cost savings.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on an ongoing basis, the Company is evaluating strategic changes to its operations, including asset divestitures, restructuring, or the discontinuance of unprofitable lines of business. Any such transaction could be material to the Company’s business, financial condition and results of operations. The nature and timing of any such changes depend on a variety of factors, including, as of the applicable time, the Company’s available cash, liquidity and operating performance; its commitments and obligations; its capital requirements; limitations imposed under its credit arrangements; and overall market conditions. As of the issuance date, the Company continues to work with its external advisors to optimize its consolidated balance sheet and evaluate its assets.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uncertainties raise substantial doubt about the Company’s ability to continue as a going concern. The accompanying consolidated financial statements have been prepared on the basis that the Company will continue to operate as a going concern, which contemplates that it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Financial Statements and Principles of Consolidation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accounts of BuzzFeed, Inc., and its wholly-owned and majority-owned subsidiaries. The Company’s consolidated financial statements are prepared in accordance with U.S. GAAP. All intercompany balances and transactions have been eliminated in consolidation.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relationships with other entities to identify whether they are variable interest entities (“VIEs”) in accordance with Accounting Standards Codification (“ASC”) 810, Consolidation.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2015, the Company signed a Joint Venture Agreement (the “JVA”) with Yahoo Japan to establish and develop operations in Japan. During the year ended December 31, 2022, Yahoo Japan transferred its interests in BuzzFeed Japan to other third parties. As such, BuzzFeed Japan is a joint venture owned 51% by the Company, through its wholly-owned subsidiaries, BuzzFeed UK Limited, and The Huffington Post Holdings LLC and 24.5% by Asahi Shimbun Company, 21.5% by Asahi Broadcasting Group Holdings Corporation, and 3.0% by ValueCommerce Co. Ltd. BuzzFeed Japan carries out the core BuzzFeed business in the Japanese language for the Japanese market. BuzzFeed Japan is included as a consolidated subsidiary in the consolidated financial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2022, and 2021, the Company established several production companies created solely for the purpose of producing a single film each, which are considered VIEs. The Company is the primary beneficiary of each production company, as it has the ability to direct the activities that most significantly impact the economic performance of the entities, the obligation to absorb losses, and the right to receive benefits from the entities. As a result, the production companies are included as consolidated subsidiaries in the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Discontinued Operations and Held for Sale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business is classified as held for sale when management having the authority to approve the action commits to a plan to sell the business, the sale is probable to occur during the next 12 months at a price that is reasonable in relation to its current fair value, and when certain other criteria are met. A business classified as held for sale is recorded at the lower of (i) its carrying amount and (ii) estimated fair value less costs to sell. When the carrying amount of the business exceeds its estimated fair value less costs to sell, a loss is recognized and updated each reporting period as appropriate.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of businesses classified as held for sale are reported as discontinued operations if the disposal represents a strategic shift 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 consolidated statement of operations; and (iii) assets and liabilities are reported as held for sale in the consolidated balance sheets in the period in which the business is classified as held for sale.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concluded the assets of the Complex Networks business, excluding the First We Feast brand, met the criteria for classification for held for sale as of December 31, 2023. Additionally, the Company determined the ultimate disposal will represent a strategic shift that will have a major effect on our operations and financial results. As such, the results of Complex Networks, excluding First We Feast, are presented as discontinued operations in the consolidated financial statements of operations for all periods presented. Prior periods have been adjusted to conform to the current presentation. The assets of Complex Networks have been reflected as assets of discontinued operations in the consolidated balance sheets for all periods presented. Refer to Note 22 herein for additional details.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Key estimates and assumptions relate primarily to revenue recognition, fair values of intangible assets acquired in business combinations, valuation allowances for deferred income tax assets, allowance for doubtful accounts,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derivative liability, fair values used for stock-based compensation in periods prior to the Business Combination, useful lives of fixed assets, and capitalized software costs.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framework under the applicable authoritative guidance requires the categorization of assets and liabilities into three levels: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Level 1 — inputs are quoted prices (unadjusted) in active markets for identical assets or liabilities.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2 — inputs are observable, either directly or indirectly,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3 — inputs are generally unobservable inputs and typically reflect management’s best estimate of assumptions that market participants would use in pricing the asset or liability.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a financial instrument is the amount for which the instrument could be exchanged in a current transaction between willing parties. The level in the fair value hierarchy within which a fair value measurement in its entirety falls is based on the lowest-level input that is significant to the fair value measurement in its entirety.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and cash equivalents, accounts receivable, prepaid and other current assets, accounts payable, accrued expenses, deferred revenue, other current liabilities, and borrowings on our three-year $50.0 million revolving loan and standby letter of credit facility agreement (the “Revolving Credit Facility”) approximate fair value. Money market funds are categorized as Level 1.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non-financial assets, which include property and equipment, capitalized software costs, prepaid and other assets, and intangible assets,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its fair value.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of cash and cash equivalents. The Company considers instruments with an original maturity of three months or less at the date of purchase to be cash equivalents. The Company’s cash and cash equivalents consist of demand deposits with financial institutions and investments in money market funds. Deposits held with these financial institutions may exceed the amount of insurance provided on such deposits. The associated risk of concentration is mitigated by banking with creditworthy institutions.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all cash the use of which is limited by contractual provisions as restricted cash. In the first quarter of 2021, letters of credit totaling $15.5 million were issued under the Revolving Credit Facility, which reduced the remaining borrowing capacity by the same amount. These letters of credit were used in favor of our landlords, relieving us of the requirement to maintain $15.5 million of cash as collateral. In February 2024, in connection with the termination of the Revolving Credit Facility, the Company was required to cash collateralize the letters of credit; refer to Note 23 herein for additional details.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and Allowance for Doubtful Accounts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are customer obligations due under normal trade terms, carried at their face value less an allowance for doubtful accounts if required. The Company determines its allowance for doubtful accounts based on the evaluation of the aging of its accounts receivable and on a customer-by-customer analysis of its high-risk customers. The Company’s reserve contemplates its historical loss rate on receivables, specific customer situations and the economic environments in which the Company operates.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Company’s allowance for doubtful accounts was as follows:</w:t>
      </w:r>
    </w:p>
    <w:tbl>
      <w:tblPr>
        <w:tblW w:w="5862" w:type="dxa"/>
        <w:jc w:val="left"/>
        <w:tblInd w:w="0" w:type="dxa"/>
        <w:tblLayout w:type="fixed"/>
        <w:tblCellMar>
          <w:top w:w="28" w:type="dxa"/>
          <w:left w:w="28" w:type="dxa"/>
          <w:bottom w:w="28" w:type="dxa"/>
          <w:right w:w="28" w:type="dxa"/>
        </w:tblCellMar>
      </w:tblPr>
      <w:tblGrid>
        <w:gridCol w:w="854"/>
        <w:gridCol w:w="748"/>
        <w:gridCol w:w="753"/>
        <w:gridCol w:w="211"/>
        <w:gridCol w:w="616"/>
        <w:gridCol w:w="109"/>
        <w:gridCol w:w="109"/>
        <w:gridCol w:w="109"/>
        <w:gridCol w:w="109"/>
        <w:gridCol w:w="211"/>
        <w:gridCol w:w="616"/>
        <w:gridCol w:w="109"/>
        <w:gridCol w:w="109"/>
        <w:gridCol w:w="109"/>
        <w:gridCol w:w="109"/>
        <w:gridCol w:w="211"/>
        <w:gridCol w:w="616"/>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Balance as of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three customers that each represented 12% of net accounts receivable. As of December 31, 2022, the Company had three customers that represented 16%, 13%, and 10% of net accounts receivable. The Company had two customers that represented 17% and 11% of total revenue for the year ended December 31, 2023, two customers that represented 14% and 11% of total revenue for the year ended December 31, 2022, and two customers that represented 13% and 12% of total revenue for the year ended December 31, 2021.</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Film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to produce films, which include direct production costs, production overhead, acquisition costs and development costs, are capitalized when incurred. Capitalized film costs are amortized based upon the ratio of current period revenues to estimated total gross revenues to be earned from the film. Film costs, which were included in prepaid and other assets on the consolidated balance sheets, were as follows: </w:t>
      </w:r>
    </w:p>
    <w:tbl>
      <w:tblPr>
        <w:tblW w:w="5605" w:type="dxa"/>
        <w:jc w:val="left"/>
        <w:tblInd w:w="0" w:type="dxa"/>
        <w:tblLayout w:type="fixed"/>
        <w:tblCellMar>
          <w:top w:w="28" w:type="dxa"/>
          <w:left w:w="28" w:type="dxa"/>
          <w:bottom w:w="28" w:type="dxa"/>
          <w:right w:w="28" w:type="dxa"/>
        </w:tblCellMar>
      </w:tblPr>
      <w:tblGrid>
        <w:gridCol w:w="809"/>
        <w:gridCol w:w="712"/>
        <w:gridCol w:w="714"/>
        <w:gridCol w:w="737"/>
        <w:gridCol w:w="379"/>
        <w:gridCol w:w="383"/>
        <w:gridCol w:w="109"/>
        <w:gridCol w:w="109"/>
        <w:gridCol w:w="109"/>
        <w:gridCol w:w="686"/>
        <w:gridCol w:w="354"/>
        <w:gridCol w:w="50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Individual Monetization:</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Feature films</w:t>
            </w:r>
          </w:p>
        </w:tc>
        <w:tc>
          <w:tcPr>
            <w:tcW w:w="7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amortized film costs of $3.2 million, $8.4 million, and $7.1 million associated with individually monetized feature films during the year ended December 31, 2023, 2022, and 2021, respectively. Film cost amortization is included in cost of revenue, excluding depreciation and amortization in the consolidated statements of operations.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Film costs are stated at the lower of amortized cost and estimated fair value and are reviewed on a title-by-title basis when an event or change in circumstances indicates that the fair value of a film is less than its unamortized cost. During the years ended December 31, 2023, 2022 or 2021, the Company recorded no impairment charges related to film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 incentives reduced capitalized film costs by $0.7 million and $1.5 million as of December 31, 2023 and 2022, respectively. The Company has receivables related to its production tax credits of $3.5 million and $3.0 million as of December 31, 2023 and 2022, respectively, which are reflected in prepaid and other current assets in our consolidated balance sheets.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Property and Equipment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is stated at cost, less accumulated depreciation. Depreciation on property and equipment is calculated using the straight-line method over the estimated useful lives of the assets. Leasehold improvements are amortized over the shorter of the lease term or the estimated useful life. The estimated useful lives of property and equipment of each asset category are as follows:</w:t>
      </w:r>
    </w:p>
    <w:tbl>
      <w:tblPr>
        <w:tblW w:w="3674" w:type="dxa"/>
        <w:jc w:val="left"/>
        <w:tblInd w:w="0" w:type="dxa"/>
        <w:tblLayout w:type="fixed"/>
        <w:tblCellMar>
          <w:top w:w="28" w:type="dxa"/>
          <w:left w:w="28" w:type="dxa"/>
          <w:bottom w:w="28" w:type="dxa"/>
          <w:right w:w="28" w:type="dxa"/>
        </w:tblCellMar>
      </w:tblPr>
      <w:tblGrid>
        <w:gridCol w:w="781"/>
        <w:gridCol w:w="687"/>
        <w:gridCol w:w="691"/>
        <w:gridCol w:w="442"/>
        <w:gridCol w:w="442"/>
        <w:gridCol w:w="631"/>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Furniture and fixtures</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Leasehold improvements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 – 11</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Computer equipment</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Video equipment</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Capitalized Software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costs incurred for development of websites or software for internal use. The Company capitalizes development costs when preliminary development efforts are successfully completed, management has authorized and committed project funding and it is probable that the project will be completed and the software will be used as intended. Costs include payroll and payroll-related costs of employees directly associated with the development activities. Costs incurred for enhancements that are expected to result in additional features or functionality are capitalized and amortized over the estimated useful life of the enhancements, generally one to three years. Costs incurred in the preliminary and post-implementation stages of the Company’s products are expensed as incurred.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equity investments in entities that the Company does not exercise significant influence over,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an investment in equity securities of a privately-held company without a readily determinable fair value. During the year ended December 31, 2023, the aforementioned private company underwent a recapitalization, and the Company received approximately 6,000 shares of common stock in a non-monetary transaction, valued at $nil. Prior to the recapitalization, the carrying value of the investment was $3.6 million, and therefore the difference between the carrying value and the fair value was recorded as loss on investment within other expense, net, within the consolidated statement of operations. Furthermore, during the year ended December 31, 2023, the Company exchanged a receivable for a $0.8 million investment in the new capital structure of the aforementioned private company (receiving approximately 500,000 shares of preferred stock). The total carrying value of the investment, included in prepaid and other assets on the consolidated balance sheets, was $0.8 million and $3.6 million as of December 31, 2023 and 2022,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Long-Lived Assets and Impairment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its property and equipment and capitalized software costs for impairment when events or changes in circumstances indicate that the carrying amount of the asset may not be recoverable. If circumstances require a long-lived asset to be tested for possible impairment, the Company first compares undiscounted cash flows expected to be generated by the asset to its carrying value. If the carrying value of the long-lived asset is not recoverable on an undiscounted cash flow basis, an impairment is recognized to the extent that the carrying value exceeds its fair value. Fair value is determined through various valuation techniques which may include discounted cash flow models, quoted market values and third-party independent appraisals, as considered necessary. Refer to Notes 6, 15, and 21 herein for additional details with respect to an impairment charge the Company recorded during the year ended December 31, 2022 regarding certain long-lived assets. There was no impairment of long-lived assets for the years ended December 31, 2023 or 2021.</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in a manner that depicts the transfer of promised goods or services to customers in an amount that reflects the consideration to which the entity expects to be entitled in exchange for those goods or services.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primarily generates its revenue from advertising services and content, which includes strategic partnerships and promotional content, with the remaining balance from other arrangements, including commerce.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Advertising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its advertising revenue from managing a customer’s Internet advertising campaigns to target markets both via BuzzFeed’s proprietary owned and operated sites as well as premium publishers (e.g., Facebook and Google). Our performance obligations typically consist of a promised number of ads delivered or a promised number of actions related to the ads (such as impressions or views). Advertising revenue is recognized in the period that the related views, impressions, or actions by users on advertisements are delivered. When ads are placed on the Company’s owned and operated or third parties’ properties, the Company generally recognizes revenue on a gross basis because the Company is primarily responsible for the delivery of the promised services, has pricing discretion, and controls the advertising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inventory prior to transfer to the customer. In some cases, the Company utilizes third-party intermediaries to facilitate the sale of advertising to the end customer. In these situations, while the Company is primarily responsible for the delivery of the promised services and controls the advertising inventory prior to transfer to the end customer, the Company typically does not have insight, and does not expect to have insight, into the gross amount paid by the end customer and therefore records as revenue the net amount received from the intermediary.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from creating content, including promotional content, customer advertising, feature films and content licensing. The Company’s performance obligations typically consist of Company-created content for use by its customers or the delivery of a promised number of actions related to the content (impressions or views). The revenue is recognized when the content, or the related action, is delivered.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Commerce and other</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participates in multiple marketplace arrangements with third parties such as Amazon, whereby the Company provides affiliate links which redirect the audience to purchase products and / or services from the third parties. When the participant purchases a product and / or service, the Company receives a commission fee for that sale from the third parties. The revenue is recognized when a successful sale is made and the commission is earned.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Cost of Revenue, Excluding Depreciation and Amortization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 consists primarily of compensation-related expenses and costs incurred for the publishing of editorial, promotional, and news content across all platforms, as well as amounts due to third party websites and platforms to fulfill customers’ advertising campaigns. Web hosting and advertising serving platform costs are also included in cost of revenue.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primarily of compensation-related expenses for sales employees. In addition, marketing and sales-related expenses include advertising costs and market research.</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compensation-related expenses for corporate employees. Also, it consists of expenses for facilities, professional services fees, insurance costs, and other general overhead costs.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compensation-related expenses incurred for the development of, enhancements to, and maintenance of the Company’s website, technology platforms and infrastructure. Research and development expenses that do not meet the criteria for capitalization are expensed as incurred. Certain development expenses are capitalized under the provisions of the applicable authoritative guidance, whereby the Company capitalizes costs associated with website and internal-use software systems that have reached the application development stage.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tax benefits from uncertain tax positions if it is more likely than not that the tax position will be sustained on examination by the taxing authorities based on the technical merits of the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made a policy election to treat the income tax with respect to the global intangible low taxed income (“GILTI”) as a period expense when incurred.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is recognized as an expense in the consolidated financial statements and is measured at the fair value of the award. The Company recognizes compensation expense for stock awards based on grant date fair value using the Black-Scholes option-pricing model. The Company accounts for forfeitures as they occur.</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cost included in the consolidated statements of operations:</w:t>
      </w:r>
    </w:p>
    <w:tbl>
      <w:tblPr>
        <w:tblW w:w="8517" w:type="dxa"/>
        <w:jc w:val="left"/>
        <w:tblInd w:w="0" w:type="dxa"/>
        <w:tblLayout w:type="fixed"/>
        <w:tblCellMar>
          <w:top w:w="28" w:type="dxa"/>
          <w:left w:w="28" w:type="dxa"/>
          <w:bottom w:w="28" w:type="dxa"/>
          <w:right w:w="28" w:type="dxa"/>
        </w:tblCellMar>
      </w:tblPr>
      <w:tblGrid>
        <w:gridCol w:w="1740"/>
        <w:gridCol w:w="1528"/>
        <w:gridCol w:w="1532"/>
        <w:gridCol w:w="211"/>
        <w:gridCol w:w="616"/>
        <w:gridCol w:w="109"/>
        <w:gridCol w:w="109"/>
        <w:gridCol w:w="109"/>
        <w:gridCol w:w="109"/>
        <w:gridCol w:w="211"/>
        <w:gridCol w:w="721"/>
        <w:gridCol w:w="109"/>
        <w:gridCol w:w="109"/>
        <w:gridCol w:w="109"/>
        <w:gridCol w:w="109"/>
        <w:gridCol w:w="211"/>
        <w:gridCol w:w="721"/>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negative stock-based compensation expense for the year ended December 31, 2023 for research and development was primarily due to forfeitures.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no income tax benefit in the consolidated statements of operations for stock-based compensation arrangements in 2023, 2022 or 2021.</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Comprehensive (Loss) Income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includes certain changes in stockholders’ equity that are excluded from net (loss) income such as cumulative foreign currency translation adjustments, comprehensive income attributed to the redeemable noncontrolling interest, comprehensive (loss) income attributable to noncontrolling interests, and foreign currency translation adjustment attributable to noncontrolling interests.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our foreign subsidiaries is generally the local currency. The financial statements of these subsidiaries are translated into U.S. dollars using month-end rates of exchange for assets and liabilities, and average rates of exchange for revenue, costs and expenses during the year. Translation gains and losses are recorded in accumulated other comprehensive loss in stockholders’ equity. Transaction gains and losses including intercompany transactions denominated in a currency other than the functional currency of the entity involved are included in exchange gain (loss) within other expense, net in the consolidated statements of operations. The Company does not enter into foreign currency forward exchange contracts or other derivative financial instruments to hedge the effects of adverse fluctuations in foreign currency exchange rates.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 emerging growth company (“EGC”), has elected to take advantage of the benefits of the extended transition period provided for in Section 7(a)(2)(B) of the Securities Act, as amended, for complying with new or revised accounting standards which allows the Company to defer adoption of certain accounting standards until those standards would otherwise apply to private companies.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Financial Accounting Standards Board (“FASB”) issued Accounting Standards Update (“ASU”) 2016-13, “Financial Instruments — Credit Losses (Topic 326),” which changes the impairment model for most financial assets, including accounts receivable, and replaces the existing incurred loss impairment model with an expected loss methodology, which will result in more timely recognition of credit losses. The guidance was effective for the Company for interim and annual periods beginning after December 15, 2022, with early adoption permitted. Effective January 1, 2023, the Company adopted this standard using a modified retrospective transition approach, which required a cumulative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 adjustment to the balance sheet as of January 1, 2023. The adoption of this standard did not have a material impact to our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 Not Yet Adopted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The amendments are effective for fiscal years beginning after December 15, 2023, and interim periods within fiscal years beginning after December 15, 2024, and early adoption is permitted. Although the ASU only requires additional disclosures about the Company’s operating segments, the Company is currently evaluating the impact of adopting this guidance on the consolidated financial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The Company is currently evaluating the impact of adopting this guidance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Acquisitions and Dispositions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Complex Networks Acquisition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 2021, in conjunction with the Business Combination, the Company completed the acquisition of 100% of the members’ interests of Complex Networks (the “Complex Networks Acquisition”).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consideration exchanged as a result of the Complex Networks Acquisition:</w:t>
      </w:r>
    </w:p>
    <w:tbl>
      <w:tblPr>
        <w:tblW w:w="2926" w:type="dxa"/>
        <w:jc w:val="left"/>
        <w:tblInd w:w="0" w:type="dxa"/>
        <w:tblLayout w:type="fixed"/>
        <w:tblCellMar>
          <w:top w:w="28" w:type="dxa"/>
          <w:left w:w="28" w:type="dxa"/>
          <w:bottom w:w="28" w:type="dxa"/>
          <w:right w:w="28" w:type="dxa"/>
        </w:tblCellMar>
      </w:tblPr>
      <w:tblGrid>
        <w:gridCol w:w="684"/>
        <w:gridCol w:w="601"/>
        <w:gridCol w:w="604"/>
        <w:gridCol w:w="211"/>
        <w:gridCol w:w="342"/>
        <w:gridCol w:w="48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Cash consideration</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197,966</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Share consideration</w:t>
            </w:r>
            <w:r>
              <w:rPr>
                <w:rFonts w:ascii="Times New Roman;sans-serif" w:hAnsi="Times New Roman;sans-serif"/>
                <w:b w:val="false"/>
                <w:color w:val="000000"/>
                <w:sz w:val="13"/>
              </w:rPr>
              <w:t>(2)</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96,200</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294,166</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120" w:after="283"/>
        <w:jc w:val="left"/>
        <w:rPr/>
      </w:pPr>
      <w:r>
        <w:rPr>
          <w:rFonts w:ascii="Times New Roman;sans-serif" w:hAnsi="Times New Roman;sans-serif"/>
          <w:b w:val="false"/>
          <w:color w:val="000000"/>
          <w:sz w:val="20"/>
        </w:rPr>
        <w:t xml:space="preserve">(1) </w:t>
      </w:r>
      <w:r>
        <w:rPr>
          <w:color w:val="231F20"/>
        </w:rPr>
        <w:t xml:space="preserve">— </w:t>
      </w:r>
      <w:r>
        <w:rPr>
          <w:rFonts w:ascii="Times New Roman;sans-serif" w:hAnsi="Times New Roman;sans-serif"/>
          <w:b w:val="false"/>
          <w:color w:val="000000"/>
          <w:sz w:val="20"/>
        </w:rPr>
        <w:t>Includes the cash purchase price of $200.0 million adjusted for certain closing specified liabilities as specified in the Membership Interest Purchase Agreement, dated as of March 27, 2021, by and among Legacy BuzzFeed, CM Partners, LLC, Complex Media, Inc., Verizon CMP Holdings LLC, and HDS II, Inc.</w:t>
      </w:r>
    </w:p>
    <w:p>
      <w:pPr>
        <w:pStyle w:val="TextBody"/>
        <w:bidi w:val="0"/>
        <w:spacing w:lineRule="auto" w:line="288" w:before="120" w:after="283"/>
        <w:jc w:val="both"/>
        <w:rPr/>
      </w:pPr>
      <w:r>
        <w:rPr>
          <w:rFonts w:ascii="Times New Roman;sans-serif" w:hAnsi="Times New Roman;sans-serif"/>
          <w:b w:val="false"/>
          <w:color w:val="000000"/>
          <w:sz w:val="20"/>
        </w:rPr>
        <w:t>(2)</w:t>
      </w:r>
      <w:r>
        <w:rPr>
          <w:color w:val="231F20"/>
        </w:rPr>
        <w:t xml:space="preserve"> —</w:t>
      </w:r>
      <w:r>
        <w:rPr>
          <w:color w:val="000000"/>
        </w:rPr>
        <w:t xml:space="preserve"> </w:t>
      </w:r>
      <w:r>
        <w:rPr>
          <w:rFonts w:ascii="Times New Roman;sans-serif" w:hAnsi="Times New Roman;sans-serif"/>
          <w:b w:val="false"/>
          <w:color w:val="000000"/>
          <w:sz w:val="20"/>
        </w:rPr>
        <w:t>Represents 10,000,000 shares of our Class A common stock at a price of $9.62 per share, which is based on the closing stock price of our Class A common stock on the Closing Date.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determination of the fair value of identifiable assets acquired and liabilities assumed as part of the Complex Networks Acquisition. During the year ended December 31, 2022, the Company finalized the fair value of assets acquired and liabilities assumed. Measurement period adjustments were reflected during the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pPr>
      <w:r>
        <w:rPr>
          <w:rFonts w:ascii="Times New Roman;sans-serif" w:hAnsi="Times New Roman;sans-serif"/>
          <w:b w:val="false"/>
          <w:color w:val="000000"/>
          <w:sz w:val="20"/>
        </w:rPr>
        <w:t xml:space="preserve">ended December 31, 2022, which is the period in which the adjustments occurred. The adjustments resulted from </w:t>
      </w:r>
      <w:r>
        <w:rPr>
          <w:rFonts w:ascii="Times New Roman;sans-serif" w:hAnsi="Times New Roman;sans-serif"/>
          <w:b w:val="false"/>
          <w:color w:val="000000"/>
          <w:sz w:val="20"/>
          <w:shd w:fill="FFFFFF" w:val="clear"/>
        </w:rPr>
        <w:t>new information obtained about facts and circumstances that existed as of the acquisition date.</w:t>
      </w:r>
    </w:p>
    <w:tbl>
      <w:tblPr>
        <w:tblW w:w="9559" w:type="dxa"/>
        <w:jc w:val="left"/>
        <w:tblInd w:w="0" w:type="dxa"/>
        <w:tblLayout w:type="fixed"/>
        <w:tblCellMar>
          <w:top w:w="28" w:type="dxa"/>
          <w:left w:w="28" w:type="dxa"/>
          <w:bottom w:w="28" w:type="dxa"/>
          <w:right w:w="28" w:type="dxa"/>
        </w:tblCellMar>
      </w:tblPr>
      <w:tblGrid>
        <w:gridCol w:w="1294"/>
        <w:gridCol w:w="1138"/>
        <w:gridCol w:w="1152"/>
        <w:gridCol w:w="211"/>
        <w:gridCol w:w="841"/>
        <w:gridCol w:w="109"/>
        <w:gridCol w:w="109"/>
        <w:gridCol w:w="109"/>
        <w:gridCol w:w="109"/>
        <w:gridCol w:w="857"/>
        <w:gridCol w:w="1652"/>
        <w:gridCol w:w="445"/>
        <w:gridCol w:w="109"/>
        <w:gridCol w:w="109"/>
        <w:gridCol w:w="109"/>
        <w:gridCol w:w="211"/>
        <w:gridCol w:w="841"/>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Preliminary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Measurement Period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Final</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for Complex Networks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294,166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294,166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indicates the estimated fair value of each of the identifiable intangible assets:</w:t>
      </w:r>
    </w:p>
    <w:tbl>
      <w:tblPr>
        <w:tblW w:w="5396" w:type="dxa"/>
        <w:jc w:val="left"/>
        <w:tblInd w:w="0" w:type="dxa"/>
        <w:tblLayout w:type="fixed"/>
        <w:tblCellMar>
          <w:top w:w="28" w:type="dxa"/>
          <w:left w:w="28" w:type="dxa"/>
          <w:bottom w:w="28" w:type="dxa"/>
          <w:right w:w="28" w:type="dxa"/>
        </w:tblCellMar>
      </w:tblPr>
      <w:tblGrid>
        <w:gridCol w:w="804"/>
        <w:gridCol w:w="707"/>
        <w:gridCol w:w="709"/>
        <w:gridCol w:w="434"/>
        <w:gridCol w:w="434"/>
        <w:gridCol w:w="436"/>
        <w:gridCol w:w="109"/>
        <w:gridCol w:w="109"/>
        <w:gridCol w:w="109"/>
        <w:gridCol w:w="452"/>
        <w:gridCol w:w="452"/>
        <w:gridCol w:w="641"/>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Asset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w:t>
              <w:br/>
              <w:t>Useful Life (Years)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&amp; tradenames</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intangible assets were estimated using Level 3 inputs. The fair value of trademarks and trade names was determined using the relief from royalty method, the fair value of customer relationships was determined using the multi-period excess earnings approach, and the fair value of acquired technology was determined using the replacement cost approach. The excess of purchase consideration over the fair value of net tangible and identifiable intangible assets acquired resulted in $188.5 million of goodwill, which is primarily attributed to workforce and synergies, and is not deductible for tax purposes.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Complex Networks Acquisition contributed $18.5 million of revenue and $1.2 million of net income for the year ended December 31, 2021, which included the revenue and net income of First We Feast.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 Forma Financial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information has been presented as if the Complex Networks Acquisition occurred on January 1, 2020. The information is based on the historical results of operations of Complex Networks, adjusted for:</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allocation of purchase price and related adjustments, including adjustments to amortization expense related to the fair value of intangible assets acquired;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2.Impacts of issuance of the Notes to partially fund the acquisition, including interest;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movement and allocation of all acquisition-related costs incurred during the twelve months ended December 3, 2021 to the twelve months ended December 31, 2020;</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4.Associated tax-related impacts of adjustments;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5.Changes to align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 forma results do not necessarily represent what would have occurred if the Complex Networks Acquisition had taken place on January 1, 2020, nor do they represent the results that may occur in the future. The pro forma adjustments were based on available information and upon assumptions that the Company believes are reasonable to reflect the impact of this acquisition on the Company’s historical financial information on a supplemental pro forma basis. Pro forma combined revenue and net loss was $510.7 million and $6.7 million, respectively, for the year ended December 31,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Revenue Recognition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Disaggregated Revenue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revenue disaggregated based on the nature of its arrangements. Our management uses these categories of revenue to evaluate the performance of its businesses and to assess its financial results and forecasts.</w:t>
      </w:r>
    </w:p>
    <w:tbl>
      <w:tblPr>
        <w:tblW w:w="5937" w:type="dxa"/>
        <w:jc w:val="left"/>
        <w:tblInd w:w="0" w:type="dxa"/>
        <w:tblLayout w:type="fixed"/>
        <w:tblCellMar>
          <w:top w:w="28" w:type="dxa"/>
          <w:left w:w="28" w:type="dxa"/>
          <w:bottom w:w="28" w:type="dxa"/>
          <w:right w:w="28" w:type="dxa"/>
        </w:tblCellMar>
      </w:tblPr>
      <w:tblGrid>
        <w:gridCol w:w="651"/>
        <w:gridCol w:w="573"/>
        <w:gridCol w:w="576"/>
        <w:gridCol w:w="211"/>
        <w:gridCol w:w="826"/>
        <w:gridCol w:w="109"/>
        <w:gridCol w:w="109"/>
        <w:gridCol w:w="109"/>
        <w:gridCol w:w="109"/>
        <w:gridCol w:w="211"/>
        <w:gridCol w:w="826"/>
        <w:gridCol w:w="109"/>
        <w:gridCol w:w="109"/>
        <w:gridCol w:w="109"/>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disaggregated by geography:</w:t>
      </w:r>
    </w:p>
    <w:tbl>
      <w:tblPr>
        <w:tblW w:w="5336" w:type="dxa"/>
        <w:jc w:val="left"/>
        <w:tblInd w:w="0" w:type="dxa"/>
        <w:tblLayout w:type="fixed"/>
        <w:tblCellMar>
          <w:top w:w="28" w:type="dxa"/>
          <w:left w:w="28" w:type="dxa"/>
          <w:bottom w:w="28" w:type="dxa"/>
          <w:right w:w="28" w:type="dxa"/>
        </w:tblCellMar>
      </w:tblPr>
      <w:tblGrid>
        <w:gridCol w:w="433"/>
        <w:gridCol w:w="382"/>
        <w:gridCol w:w="384"/>
        <w:gridCol w:w="211"/>
        <w:gridCol w:w="826"/>
        <w:gridCol w:w="109"/>
        <w:gridCol w:w="109"/>
        <w:gridCol w:w="109"/>
        <w:gridCol w:w="109"/>
        <w:gridCol w:w="211"/>
        <w:gridCol w:w="826"/>
        <w:gridCol w:w="109"/>
        <w:gridCol w:w="109"/>
        <w:gridCol w:w="109"/>
        <w:gridCol w:w="109"/>
        <w:gridCol w:w="211"/>
        <w:gridCol w:w="826"/>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2021</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226,011 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338,733 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252,677 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342,554 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383,804 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can result in billed accounts receivable, unbilled receivables (contract assets), and deferred revenues (contract liabilities). The payment terms and conditions within the Company’s contracts vary by the type; the substantial majority require that customers pay for their services on a monthly or quarterly basis, as the services are being provided. When the timing of revenue recognition differs from the timing of payments made by customers, the Company recognizes either unbilled revenue (its performance precedes the billing date) or deferred revenue (customer payment is received in advance of performance). In addition, we have determined our contracts generally do not include a significant financing component.</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The Company’s contract assets are presented in prepaid and other current assets on the accompanying consolidated balance sheets and totaled $8.3 million and $12.1 million at December 31, 2023 and 2022, respectively. </w:t>
      </w:r>
      <w:r>
        <w:rPr>
          <w:rFonts w:ascii="Times New Roman;sans-serif" w:hAnsi="Times New Roman;sans-serif"/>
          <w:b w:val="false"/>
          <w:color w:val="000000"/>
          <w:sz w:val="20"/>
          <w:shd w:fill="FFFFFF" w:val="clear"/>
        </w:rPr>
        <w:t>These amounts relate to revenue recognized during the respective year that is expected to be invoiced and collected in future periods.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contract liabilities, which are recorded in deferred revenue on the accompanying consolidated balance sheets, are expected to be recognized as revenues during the succeeding twelve-month period. Deferred revenue totaled $1.9 million and $8.8 million at December 31, 2023 and 2022, respectively. The amount of revenue recognized during the year ended December 31, 2023 that was included in the deferred revenue balance as of December 31, 2022 was $7.9 million.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Transaction Price Allocated to Remaining Performance Obligations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certain licensing contracts with minimum guarantees and terms extending beyond one year. Revenue to be recognized related to the remaining performance obligations was $2.2 million at December 31, 2023 and is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to be recognized over the next one to three years. This amount does not include: (i) contracts with an original expected duration of one year or less, such as advertising contracts, (ii) variable consideration in the form of sales-based royalties, and (iii) variable consideration allocated entirely to wholly unperformed performance obligations.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that are measured at fair value on a recurring basis are summarized below:</w:t>
      </w:r>
    </w:p>
    <w:tbl>
      <w:tblPr>
        <w:tblW w:w="6681" w:type="dxa"/>
        <w:jc w:val="left"/>
        <w:tblInd w:w="0" w:type="dxa"/>
        <w:tblLayout w:type="fixed"/>
        <w:tblCellMar>
          <w:top w:w="28" w:type="dxa"/>
          <w:left w:w="28" w:type="dxa"/>
          <w:bottom w:w="28" w:type="dxa"/>
          <w:right w:w="28" w:type="dxa"/>
        </w:tblCellMar>
      </w:tblPr>
      <w:tblGrid>
        <w:gridCol w:w="883"/>
        <w:gridCol w:w="777"/>
        <w:gridCol w:w="784"/>
        <w:gridCol w:w="309"/>
        <w:gridCol w:w="336"/>
        <w:gridCol w:w="340"/>
        <w:gridCol w:w="109"/>
        <w:gridCol w:w="109"/>
        <w:gridCol w:w="109"/>
        <w:gridCol w:w="309"/>
        <w:gridCol w:w="172"/>
        <w:gridCol w:w="174"/>
        <w:gridCol w:w="109"/>
        <w:gridCol w:w="109"/>
        <w:gridCol w:w="109"/>
        <w:gridCol w:w="309"/>
        <w:gridCol w:w="172"/>
        <w:gridCol w:w="174"/>
        <w:gridCol w:w="109"/>
        <w:gridCol w:w="109"/>
        <w:gridCol w:w="109"/>
        <w:gridCol w:w="240"/>
        <w:gridCol w:w="297"/>
        <w:gridCol w:w="424"/>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2023</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31F20"/>
                <w:sz w:val="16"/>
              </w:rPr>
            </w:pPr>
            <w:r>
              <w:rPr>
                <w:rFonts w:ascii="Times New Roman;sans-serif" w:hAnsi="Times New Roman;sans-serif"/>
                <w:b/>
                <w:color w:val="231F2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25,306</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25,306</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w:t>
            </w:r>
          </w:p>
        </w:tc>
        <w:tc>
          <w:tcPr>
            <w:tcW w:w="30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402</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w:t>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406</w:t>
            </w:r>
          </w:p>
        </w:tc>
      </w:tr>
    </w:tbl>
    <w:tbl>
      <w:tblPr>
        <w:tblW w:w="6809" w:type="dxa"/>
        <w:jc w:val="left"/>
        <w:tblInd w:w="0" w:type="dxa"/>
        <w:tblLayout w:type="fixed"/>
        <w:tblCellMar>
          <w:top w:w="28" w:type="dxa"/>
          <w:left w:w="28" w:type="dxa"/>
          <w:bottom w:w="28" w:type="dxa"/>
          <w:right w:w="28" w:type="dxa"/>
        </w:tblCellMar>
      </w:tblPr>
      <w:tblGrid>
        <w:gridCol w:w="883"/>
        <w:gridCol w:w="777"/>
        <w:gridCol w:w="784"/>
        <w:gridCol w:w="211"/>
        <w:gridCol w:w="616"/>
        <w:gridCol w:w="109"/>
        <w:gridCol w:w="109"/>
        <w:gridCol w:w="109"/>
        <w:gridCol w:w="109"/>
        <w:gridCol w:w="211"/>
        <w:gridCol w:w="361"/>
        <w:gridCol w:w="109"/>
        <w:gridCol w:w="109"/>
        <w:gridCol w:w="109"/>
        <w:gridCol w:w="109"/>
        <w:gridCol w:w="211"/>
        <w:gridCol w:w="466"/>
        <w:gridCol w:w="109"/>
        <w:gridCol w:w="109"/>
        <w:gridCol w:w="109"/>
        <w:gridCol w:w="109"/>
        <w:gridCol w:w="211"/>
        <w:gridCol w:w="616"/>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money market funds are measured at amortized cost, which approximates fair value.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warrant liability as of December 31, 2023 and December 31, 2022 includes public and private placement warrants that were originally issued by 890, but which were assumed by the Company in connection with the closing of the Business Combination (the “Public Warrants” and “Private Placement Warrants,” respectively, or together, the “Public and Private Placement Warrants”). The Public and Private Placement Warrants are recorded on the balance sheet at fair value. The carrying amount is subject to remeasurement at each balance sheet date. With each remeasurement, the carrying amount is adjusted to fair value, with the change in fair value recognized in the Company’s consolidated statements of operations and comprehensive (loss)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$0.04 and $0.04 as of December 31, 2023 and 2022, respectively. </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As of December 31, 2022, Level 3 instruments consisted of the Company’s derivative liability related to the Notes. Fair value measurements categorized within Level 3 are sensitive to changes in the assumptions or methodologies used to determine fair value, and such changes could result in a significant increase or decrease in the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As of December 31, 2023</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the Company determined the fair value of the derivative liability was immaterial as (i) the closing share price of our Class A common stock was $0.25 as of December 29, 2023, and (ii) each holder of a Note will have the right to require the Company to repurchase, for cash, all or a portion of the Notes held by such holder at any time on or after December 3, 2024.</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quantitative information regarding the significant unobservable inputs used by the Company related to the derivative liability:</w:t>
      </w:r>
    </w:p>
    <w:tbl>
      <w:tblPr>
        <w:tblW w:w="2693" w:type="dxa"/>
        <w:jc w:val="left"/>
        <w:tblInd w:w="0" w:type="dxa"/>
        <w:tblLayout w:type="fixed"/>
        <w:tblCellMar>
          <w:top w:w="28" w:type="dxa"/>
          <w:left w:w="28" w:type="dxa"/>
          <w:bottom w:w="28" w:type="dxa"/>
          <w:right w:w="28" w:type="dxa"/>
        </w:tblCellMar>
      </w:tblPr>
      <w:tblGrid>
        <w:gridCol w:w="484"/>
        <w:gridCol w:w="424"/>
        <w:gridCol w:w="427"/>
        <w:gridCol w:w="109"/>
        <w:gridCol w:w="109"/>
        <w:gridCol w:w="334"/>
        <w:gridCol w:w="334"/>
        <w:gridCol w:w="472"/>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activity of the Level 3 instruments:</w:t>
      </w:r>
    </w:p>
    <w:tbl>
      <w:tblPr>
        <w:tblW w:w="4470" w:type="dxa"/>
        <w:jc w:val="left"/>
        <w:tblInd w:w="0" w:type="dxa"/>
        <w:tblLayout w:type="fixed"/>
        <w:tblCellMar>
          <w:top w:w="28" w:type="dxa"/>
          <w:left w:w="28" w:type="dxa"/>
          <w:bottom w:w="28" w:type="dxa"/>
          <w:right w:w="28" w:type="dxa"/>
        </w:tblCellMar>
      </w:tblPr>
      <w:tblGrid>
        <w:gridCol w:w="1287"/>
        <w:gridCol w:w="1130"/>
        <w:gridCol w:w="1137"/>
        <w:gridCol w:w="232"/>
        <w:gridCol w:w="513"/>
        <w:gridCol w:w="171"/>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Liability</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fair value measurement levels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Property and Equipment, net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5291" w:type="dxa"/>
        <w:jc w:val="left"/>
        <w:tblInd w:w="0" w:type="dxa"/>
        <w:tblLayout w:type="fixed"/>
        <w:tblCellMar>
          <w:top w:w="28" w:type="dxa"/>
          <w:left w:w="28" w:type="dxa"/>
          <w:bottom w:w="28" w:type="dxa"/>
          <w:right w:w="28" w:type="dxa"/>
        </w:tblCellMar>
      </w:tblPr>
      <w:tblGrid>
        <w:gridCol w:w="989"/>
        <w:gridCol w:w="869"/>
        <w:gridCol w:w="872"/>
        <w:gridCol w:w="222"/>
        <w:gridCol w:w="759"/>
        <w:gridCol w:w="114"/>
        <w:gridCol w:w="109"/>
        <w:gridCol w:w="109"/>
        <w:gridCol w:w="109"/>
        <w:gridCol w:w="221"/>
        <w:gridCol w:w="757"/>
        <w:gridCol w:w="161"/>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 equipment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totaled $6.7 million, $10.2 million, and $8.3 million for the years ended December 31, 2023, 2022 and 2021, respectively, and was included in depreciation and amortization expense.</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Refer to </w:t>
      </w:r>
      <w:r>
        <w:rPr>
          <w:rFonts w:ascii="Times New Roman;sans-serif" w:hAnsi="Times New Roman;sans-serif"/>
          <w:b w:val="false"/>
          <w:color w:val="000000"/>
          <w:sz w:val="20"/>
          <w:shd w:fill="FFFFFF" w:val="clear"/>
        </w:rPr>
        <w:t>Note 21 herein</w:t>
      </w:r>
      <w:r>
        <w:rPr>
          <w:color w:val="000000"/>
        </w:rPr>
        <w:t xml:space="preserve"> </w:t>
      </w:r>
      <w:r>
        <w:rPr>
          <w:rFonts w:ascii="Times New Roman;sans-serif" w:hAnsi="Times New Roman;sans-serif"/>
          <w:b w:val="false"/>
          <w:color w:val="000000"/>
          <w:sz w:val="20"/>
        </w:rPr>
        <w:t xml:space="preserve">for information regarding an impairment charge the Company recorded during the year ended December 31, 2022 with respect to leasehold improvements associated with the lease of the Company's former corporate headquarters that was fully subleased during the third quarter of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7. Capitalized Software Costs, net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software costs, net consisted of the following:</w:t>
      </w:r>
    </w:p>
    <w:tbl>
      <w:tblPr>
        <w:tblW w:w="5411" w:type="dxa"/>
        <w:jc w:val="left"/>
        <w:tblInd w:w="0" w:type="dxa"/>
        <w:tblLayout w:type="fixed"/>
        <w:tblCellMar>
          <w:top w:w="28" w:type="dxa"/>
          <w:left w:w="28" w:type="dxa"/>
          <w:bottom w:w="28" w:type="dxa"/>
          <w:right w:w="28" w:type="dxa"/>
        </w:tblCellMar>
      </w:tblPr>
      <w:tblGrid>
        <w:gridCol w:w="1031"/>
        <w:gridCol w:w="907"/>
        <w:gridCol w:w="912"/>
        <w:gridCol w:w="222"/>
        <w:gridCol w:w="759"/>
        <w:gridCol w:w="114"/>
        <w:gridCol w:w="109"/>
        <w:gridCol w:w="109"/>
        <w:gridCol w:w="109"/>
        <w:gridCol w:w="221"/>
        <w:gridCol w:w="757"/>
        <w:gridCol w:w="161"/>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Website and internal-use software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the Company capitalized $13.9 million, $12.4 million and $11.0 million respectively, included in capitalized software costs and amortized $11.0 million, $9.7 million and $11.1 million, respectively,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Goodwill and Intangibles, net</w:t>
      </w:r>
    </w:p>
    <w:p>
      <w:pPr>
        <w:pStyle w:val="TextBody"/>
        <w:bidi w:val="0"/>
        <w:spacing w:lineRule="auto" w:line="288" w:before="240" w:after="283"/>
        <w:ind w:left="0" w:right="0" w:firstLine="576"/>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goodwill activities for the periods presented:</w:t>
      </w:r>
    </w:p>
    <w:tbl>
      <w:tblPr>
        <w:tblW w:w="4010" w:type="dxa"/>
        <w:jc w:val="left"/>
        <w:tblInd w:w="0" w:type="dxa"/>
        <w:tblLayout w:type="fixed"/>
        <w:tblCellMar>
          <w:top w:w="28" w:type="dxa"/>
          <w:left w:w="28" w:type="dxa"/>
          <w:bottom w:w="28" w:type="dxa"/>
          <w:right w:w="28" w:type="dxa"/>
        </w:tblCellMar>
      </w:tblPr>
      <w:tblGrid>
        <w:gridCol w:w="1021"/>
        <w:gridCol w:w="896"/>
        <w:gridCol w:w="902"/>
        <w:gridCol w:w="211"/>
        <w:gridCol w:w="82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goodwill attributable to Complex Networks as of December 31, 2023 and 2022 was excluded from the table above and is reported within noncurrent assets of discontinued operations within the consolidated balance sheets. Additionally, impairment expense attributable to Complex Networks for the year ended December 31, 2022 was excluded from the table above and is reported within net (loss) income from discontinued operations, net of tax, in the consolidated statement of operations.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intangible assets for the periods presented and the weighted average remaining useful lives:</w:t>
      </w:r>
    </w:p>
    <w:tbl>
      <w:tblPr>
        <w:tblW w:w="10480" w:type="dxa"/>
        <w:jc w:val="left"/>
        <w:tblInd w:w="0" w:type="dxa"/>
        <w:tblLayout w:type="fixed"/>
        <w:tblCellMar>
          <w:top w:w="28" w:type="dxa"/>
          <w:left w:w="28" w:type="dxa"/>
          <w:bottom w:w="28" w:type="dxa"/>
          <w:right w:w="28" w:type="dxa"/>
        </w:tblCellMar>
      </w:tblPr>
      <w:tblGrid>
        <w:gridCol w:w="537"/>
        <w:gridCol w:w="354"/>
        <w:gridCol w:w="355"/>
        <w:gridCol w:w="310"/>
        <w:gridCol w:w="295"/>
        <w:gridCol w:w="296"/>
        <w:gridCol w:w="109"/>
        <w:gridCol w:w="109"/>
        <w:gridCol w:w="109"/>
        <w:gridCol w:w="211"/>
        <w:gridCol w:w="721"/>
        <w:gridCol w:w="109"/>
        <w:gridCol w:w="109"/>
        <w:gridCol w:w="109"/>
        <w:gridCol w:w="109"/>
        <w:gridCol w:w="219"/>
        <w:gridCol w:w="748"/>
        <w:gridCol w:w="114"/>
        <w:gridCol w:w="109"/>
        <w:gridCol w:w="109"/>
        <w:gridCol w:w="109"/>
        <w:gridCol w:w="211"/>
        <w:gridCol w:w="721"/>
        <w:gridCol w:w="109"/>
        <w:gridCol w:w="109"/>
        <w:gridCol w:w="109"/>
        <w:gridCol w:w="109"/>
        <w:gridCol w:w="211"/>
        <w:gridCol w:w="721"/>
        <w:gridCol w:w="109"/>
        <w:gridCol w:w="109"/>
        <w:gridCol w:w="109"/>
        <w:gridCol w:w="109"/>
        <w:gridCol w:w="243"/>
        <w:gridCol w:w="711"/>
        <w:gridCol w:w="127"/>
        <w:gridCol w:w="109"/>
        <w:gridCol w:w="109"/>
        <w:gridCol w:w="109"/>
        <w:gridCol w:w="211"/>
        <w:gridCol w:w="721"/>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 xml:space="preserve">Average </w:t>
              <w:br/>
              <w:t xml:space="preserve">Remaining </w:t>
              <w:br/>
              <w:t xml:space="preserve">Useful Lives (in </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Amortization expense associated with intangible assets for the year ended December 31, 2023 and 2022 was</w:t>
      </w:r>
      <w:r>
        <w:rPr>
          <w:color w:val="FF0000"/>
        </w:rPr>
        <w:t xml:space="preserve"> </w:t>
      </w:r>
      <w:r>
        <w:rPr>
          <w:rFonts w:ascii="Times New Roman;sans-serif" w:hAnsi="Times New Roman;sans-serif"/>
          <w:b w:val="false"/>
          <w:color w:val="000000"/>
          <w:sz w:val="20"/>
        </w:rPr>
        <w:t>$4.4 million and $4.4 million, respectively, included in depreciation and amortization expense.</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Estimated future amortization expense as of December 31, 2023 is as follows (in thousands):</w:t>
      </w:r>
    </w:p>
    <w:tbl>
      <w:tblPr>
        <w:tblW w:w="2032" w:type="dxa"/>
        <w:jc w:val="left"/>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intangible assets attributable to Complex Networks as of December 31, 2023 and 2022 were excluded from the table above and are reported within noncurrent assets of discontinued operations within the consolidated balance sheets. Additionally, amortization expense attributable to Complex Networks for the years ended December 31, 2023 and 2022 was excluded from the figures and table above and is reported within net (loss) income from discontinued operations, net of tax, in the consolidated statement of operations for all periods presented.</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Goodwill Impairment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recorded a $64.3 million non-cash goodwill impairment charge driven by a sustained decline in share price that pushed its market capitalization below the carrying value of its stockholders’ equity.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2023, the Company experienced a further sustained decline in share price whereby its market capitalization was below its carrying value of its stockholders’ equity and a there was a more-likely-than-not expectation of selling a portion of its single reporting unit (i.e., the Disposition, as discussed in Notes 22 and 23 herein). As such, the Company performed a quantitative impairment assessment as of December 31, 2023.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quantitative impairment assessment was performed as of December 31, 2023, utilizing an equal weighting of the income and market approaches. The analysis required the comparison of the Company’s carrying value with its fair value, with an impairment recorded for any excess of carrying value over the fair value. The discounted cash flow method was used to determine the fair value of the Company’s single reporting unit under the income approach. The adjusted market capitalization method was used to determine the fair value of the reporting unit under the market approach. The adjusted market capitalization method was calculated by multiplying the average share price of the Company’s Class A common stock for the average between (i) the singular day of December 29, (ii) seven days prior to the measurement date, and (iii) 30 days prior to the measurement date, by the number of outstanding shares of common stock and adding a control premium that reflects the premium a hypothetical buyer might pay. The control premium was estimated using historical transactions over three years. The results of the quantitative analysis performed indicated the fair value of the reporting unit exceeded the carrying value by more than 10%. As a result, the Company concluded there was no goodwill impairment as of December 31, 2023. The Company believes our procedures for determining fair value are reasonable and consistent with current market conditions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Debt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Revolving Credit Facility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2020, the Company entered into a three-year, $50.0 million, revolving loan and standby letter of credit facility agreement (i.e., the Revolving Credit Facility). The Revolving Credit Facility, which was terminated on February 21, 2024, as described in further detail below, provided for the issuance of up to $15.5 million of standby letters of credit and aggregate borrowings under the Revolving Credit Facility were generally limited to 95% of qualifying investment grade accounts receivable and 90% of qualifying non-investment grade accounts receivable, subject to adjustment at the discretion of the lenders. The $15.5 million of standby letters of credit were issued during the three months ended March 31, 2021 in favor of certain of the Company’s landlords. The Revolving Credit Facility was amended and restated in connection with the closing of the Business Combination to, among other things, add the Company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pPr>
      <w:r>
        <w:rPr>
          <w:rFonts w:ascii="Times New Roman;sans-serif" w:hAnsi="Times New Roman;sans-serif"/>
          <w:b w:val="false"/>
          <w:color w:val="000000"/>
          <w:sz w:val="20"/>
        </w:rPr>
        <w:t>certain other entities as guarantors. The Revolving Credit Facility was further amended and restated on December 15, 2022 to, among other things, extend the maturity date until December 30, 2025, replace the London Inter-Bank Offered Rate (LIBOR) rate with the Secured Overnight Financing Rate (“SOFR”) rate, and provide for an early termination fee of between 0.5% and 2% of the maximum facility loan amount. The Company incurred $0.2 million of debt issuance fees associated with the December 15, 2022 amendment. On May 10, 2023, the parties to the Revolving Credit Facility entered into a joinder agreement adding one of the Company’s Canadian subsidiaries as a borrower under the Revolving Credit Facility, granting the lenders under the Revolving Credit Facility a lien on that subsidiary’s collateral, and including that subsidiary’s receivables in the calculation of the borrowing base under the Revolving Credit Facility. The Revolving Credit Facility was further amended o</w:t>
      </w:r>
      <w:r>
        <w:rPr>
          <w:rFonts w:ascii="Times New Roman;sans-serif" w:hAnsi="Times New Roman;sans-serif"/>
          <w:b w:val="false"/>
          <w:color w:val="000000"/>
          <w:sz w:val="20"/>
          <w:shd w:fill="FFFFFF" w:val="clear"/>
        </w:rPr>
        <w:t xml:space="preserve">n each of June 29, 2023 and September 26, 2023 </w:t>
      </w:r>
      <w:r>
        <w:rPr>
          <w:rFonts w:ascii="Times New Roman;sans-serif" w:hAnsi="Times New Roman;sans-serif"/>
          <w:b w:val="false"/>
          <w:color w:val="000000"/>
          <w:sz w:val="20"/>
        </w:rPr>
        <w:t>in a second and third amendment, respectively.</w:t>
      </w:r>
      <w:r>
        <w:rPr>
          <w:color w:val="000000"/>
          <w:shd w:fill="FFFFFF" w:val="clear"/>
        </w:rPr>
        <w:t xml:space="preserve"> </w:t>
      </w:r>
      <w:r>
        <w:rPr>
          <w:rFonts w:ascii="Times New Roman;sans-serif" w:hAnsi="Times New Roman;sans-serif"/>
          <w:b w:val="false"/>
          <w:color w:val="000000"/>
          <w:sz w:val="20"/>
          <w:shd w:fill="FFFFFF" w:val="clear"/>
        </w:rPr>
        <w:t>As a result of these second and third amendments, the Revolving Credit Facility was amended to provide for, among other things: (i) permitted overadvances during the periods from June 29, 2023 through August 31, 2023 and September 26, 2023 through December 31, 2023; (ii) permitted overadvances of up to $7.4 million; (iii) an increase in the applicable margin only during the overadvance periods (ranging from 4.5% to 5% depending on the utilization of the facility</w:t>
      </w:r>
      <w:r>
        <w:rPr>
          <w:rFonts w:ascii="Times New Roman;sans-serif" w:hAnsi="Times New Roman;sans-serif"/>
          <w:b w:val="false"/>
          <w:color w:val="000000"/>
          <w:sz w:val="20"/>
        </w:rPr>
        <w:t>, with the range reverting to 3.75% to 4.25% starting January 1, 2024)</w:t>
      </w:r>
      <w:r>
        <w:rPr>
          <w:rFonts w:ascii="Times New Roman;sans-serif" w:hAnsi="Times New Roman;sans-serif"/>
          <w:b w:val="false"/>
          <w:color w:val="000000"/>
          <w:sz w:val="20"/>
          <w:shd w:fill="FFFFFF" w:val="clear"/>
        </w:rPr>
        <w:t xml:space="preserve">; and (iv) a change in the definition of the term “SOFR Index.” The Company incurred $0.2 million of debt issuance fees associated with the June 29, 2023 amendment and $0.1 million of debt issuance fees associated with the September 26, 2023 amendment.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included covenants that, among other things, required the Company to maintain at least $25.0 million of unrestricted cash at all times and limited, under prescribed circumstances, the ability of the Company to incur additional indebtedness, pay dividends, hold unpermitted investments, or make material changes to the business. The Company was in compliance with the financial covenants under such facility as of December 31, 2023. </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 xml:space="preserve">Borrowings under the Revolving Credit Facility bore interest at the greater of 0.75% and the sum of the rate per annum for the forward-looking term rate for SOFR for a term of one (1) month, plus a margin, </w:t>
      </w:r>
      <w:r>
        <w:rPr>
          <w:rFonts w:ascii="Times New Roman;sans-serif" w:hAnsi="Times New Roman;sans-serif"/>
          <w:b w:val="false"/>
          <w:color w:val="000000"/>
          <w:sz w:val="20"/>
          <w:shd w:fill="FFFFFF" w:val="clear"/>
        </w:rPr>
        <w:t>which, during the overadvance period ended December 31, 2023, ranged from 4.5% to 5% depending on the utilization of the facility, with the range reverting to</w:t>
      </w:r>
      <w:r>
        <w:rPr>
          <w:color w:val="000000"/>
        </w:rPr>
        <w:t xml:space="preserve"> </w:t>
      </w:r>
      <w:r>
        <w:rPr>
          <w:rFonts w:ascii="Times New Roman;sans-serif" w:hAnsi="Times New Roman;sans-serif"/>
          <w:b w:val="false"/>
          <w:color w:val="000000"/>
          <w:sz w:val="20"/>
        </w:rPr>
        <w:t>3.75% to 4.25% on January 1, 2024, depending on the level of the Company’s utilization of the facility (the implied interest rate was approximately 10% at December 31, 2023 at the SOFR rate and approximately 8% at December 31, 2022 at the LIBOR rate), and subject to a monthly minimum utilization of $15.0 million. The facility also included an unused commitment fee of 0.375%.</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outstanding borrowings of $33.8 million and $33.5 million as of December 31, 2023 and 2022, respectively. The Company had outstanding letters of credit of $15.5 million under the Revolving Credit Facility at December 31, 2023 and 2022, and the total unused borrowing capacity was $0.7 million and $1.0 million as of December 31, 2023 and 2022, respectively.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$0.5 million and $0.4 million of costs in connection with the issuance of debt included in prepaid and other assets in the consolidated balance sheet, respectively.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2024, in connection with the Disposition, the Company terminated the Revolving Credit Facility, except for the $15.5 million in letters of credit outstanding, which were cash collateralized in the amount of $17.1 million. Refer to Note 23 for further details on the termination.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Convertible Notes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in connection with the entry into the merger agreement pursuant to which the Business Combination was consummated, the Company entered into subscription agreements with certain investors to sell $150.0 million aggregate principal amount of Notes. In connection with the closing of the Business Combination, the Company issued, and those investors purchased, the Notes. The Notes are convertible into shares of our Class A common stock at an initial conversion price of $12.50 and bear interest at a rate of 8.50% per annum, payable semi-annually. The Notes mature on December 3, 2026. As of December 31, 2023, the Notes were convertible into approximately 12,000,000 shares of our Class A common stock and, as of March 7, 2024, the Notes were convertible into approximately 9,528,000 shares of our Class A common stock.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at its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prior to December 3, 2024, the Company will be obligated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pay an amount in cash equal to an amount equal to twelve month’s interest declining ratably on a monthly basis to zero month’s interest, in each case, on the aggregate principal amount of Notes so converted.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a Note has the right under the indenture governing the Notes to require the Company to repurchase, for cash, all or a portion of the Notes held by such holder (i) at any time on or after December 3, 2024 (i.e., the third anniversary of the issuance of the Notes),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In addition, a failure to comply with the provisions of the indenture governing our Notes could trigger an event of default under the indenture, which would allow the holders of Notes to accelerate the maturity of the Notes and require the Company to repay the Notes prior to their maturity. Moreover, the Company will be required to repay the Notes, in cash, at their maturity, unless earlier converted, redeemed, or repurchased.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Notes were reclassified from non-current debt to current debt within the consolidated balance sheet as of December 31, 2023 given the Notes are callable within 12-months from the reporting date.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Notes includes restrictive covenants that, among other things, limit the Company’s ability to incur additional debt or liens, make restricted payments or investments, dispose of significant assets, transfer intellectual property, or enter into transactions with affiliates. On March 7, 2024, the Company repaid approximately $30.9 million of the $150.0 million Notes, leaving approximately $119.1 million aggregate principal amount of Notes outstanding as of March 7, 2024. Refer to Note 23 herein for details on the repayment, along with an amendment to the indenture done in connection with the Disposition which requires that 95% of the net proceeds of any future asset sales be used to repay the Notes.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The derivative liability is remeasured at each reporting date with the resulting gain or loss recorded in change in fair value of derivative liability within the consolidated statements of operations. As of December 31, 2023</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the Company determined the fair value of the derivative liability was immaterial as (i) the closing share price of our Class A common stock was $0.25 as of December 29, 2023, and (ii) each holder of a Note has the right to require the Company to repurchase, for cash, all or a portion of the Notes held by such holder at any time on or after December 3, 2024 (i.e., the third anniversary of the issuance of the Notes), at a repurchase price equal the principal amount plus accrued and unpaid interest.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on the Notes is recognized at an effective interest rate of 15% and totaled $15.1 million and $14.4 million for the year ended December 31, 2023 and 2022, respectively of which amortization of the debt discount and issuance costs comprised $5.0 million and $4.3 million for the year ended December 31, 2023 and 2022, respectively.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Notes as of December 31, 2023 was:</w:t>
      </w:r>
    </w:p>
    <w:tbl>
      <w:tblPr>
        <w:tblW w:w="6518" w:type="dxa"/>
        <w:jc w:val="left"/>
        <w:tblInd w:w="0" w:type="dxa"/>
        <w:tblLayout w:type="fixed"/>
        <w:tblCellMar>
          <w:top w:w="28" w:type="dxa"/>
          <w:left w:w="28" w:type="dxa"/>
          <w:bottom w:w="28" w:type="dxa"/>
          <w:right w:w="28" w:type="dxa"/>
        </w:tblCellMar>
      </w:tblPr>
      <w:tblGrid>
        <w:gridCol w:w="1396"/>
        <w:gridCol w:w="1227"/>
        <w:gridCol w:w="1231"/>
        <w:gridCol w:w="211"/>
        <w:gridCol w:w="826"/>
        <w:gridCol w:w="109"/>
        <w:gridCol w:w="109"/>
        <w:gridCol w:w="109"/>
        <w:gridCol w:w="109"/>
        <w:gridCol w:w="211"/>
        <w:gridCol w:w="82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outstanding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 and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Notes as of December 31, 2023 was approximately $112.8 million. The fair value of the Notes was estimated using Level 3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Redeemable Noncontrolling Interest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redeemable noncontrolling interest represents the interests in BuzzFeed Japan which were held by Yahoo Japan, which were puttable to the Company in certain conditions, none of which were previously met, including material breach of the JVA by the Company or the bankruptcy or liquidation of the Company. The redeemable noncontrolling interest was presented outside of the permanent equity on the Company’s consolidated balance sheets, as the put right was outside of the Company’s control. Pursuant to the terms of the original JVA, Yahoo Japan held a 49% interest in BuzzFeed Japan. On May 1, 2021, The HuffingtonPost Japan, Limited, a consolidated subsidiary, merged into BuzzFeed Japan. As a result of the merger, Yahoo Japan’s interest in the combined entity was diluted to 24.5%.</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17, 2022, Yahoo Japan transferred its interests in BuzzFeed Japan to other third parties. The agreements with the third parties do not contain any put rights. As such, on May 17, 2022, the Company reclassified the former redeemable noncontrolling interest to nonredeemable noncontrolling interest that is presented within permanent equity on the Company’s consolidated balance sheet, with no adjustment to the prior periods presented.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reconciliation of changes in redeemable noncontrolling interest:</w:t>
      </w:r>
    </w:p>
    <w:tbl>
      <w:tblPr>
        <w:tblW w:w="7181" w:type="dxa"/>
        <w:jc w:val="left"/>
        <w:tblInd w:w="0" w:type="dxa"/>
        <w:tblLayout w:type="fixed"/>
        <w:tblCellMar>
          <w:top w:w="28" w:type="dxa"/>
          <w:left w:w="28" w:type="dxa"/>
          <w:bottom w:w="28" w:type="dxa"/>
          <w:right w:w="28" w:type="dxa"/>
        </w:tblCellMar>
      </w:tblPr>
      <w:tblGrid>
        <w:gridCol w:w="1408"/>
        <w:gridCol w:w="1233"/>
        <w:gridCol w:w="1243"/>
        <w:gridCol w:w="211"/>
        <w:gridCol w:w="406"/>
        <w:gridCol w:w="109"/>
        <w:gridCol w:w="109"/>
        <w:gridCol w:w="109"/>
        <w:gridCol w:w="109"/>
        <w:gridCol w:w="211"/>
        <w:gridCol w:w="616"/>
        <w:gridCol w:w="109"/>
        <w:gridCol w:w="109"/>
        <w:gridCol w:w="109"/>
        <w:gridCol w:w="109"/>
        <w:gridCol w:w="211"/>
        <w:gridCol w:w="616"/>
        <w:gridCol w:w="154"/>
      </w:tblGrid>
      <w:tr>
        <w:trPr/>
        <w:tc>
          <w:tcPr>
            <w:tcW w:w="140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of BuzzFeed Japan and HuffPost Japan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net income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into permanent equity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Stockholders’ Equity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Business Combination, the Company authorized the issuance of 50,000,000 shares of preferred stock, par value $0.0001 per share. Our board of directors is authorized, without further stockholder approval, to issue such 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December 31,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Incentive Plans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25, 2008, the Company adopted the 2008 Stock Plan (the “2008 Plan”). On October 30, 2015, the Company adopted the 2015 Equity Incentive Plan (“2015 Plan”). The 2015 Plan superseded the 2008 Plan and increased the number of Legacy BuzzFeed shares available for grant and issuance to 16,895,765. The 2015 Plan allowed for the grant of incentive and nonqualified stock options, restricted stock units (“RSUs”), and stock appreciation rights to eligible participants.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16, 2018, the 2015 Plan was amended to increase the maximum number of shares of Legacy BuzzFeed common stock available for issuance by 15,700,000. At the time the 2021 Equity Incentive Plan (defined below) became effective, 32,595,765 shares of Legacy BuzzFeed common stock were authorized for issuance under the 2015 Plan. Upon the closing of the Business Combination, all Legacy BuzzFeed stock options outstanding under the 2015 Plan and 2008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Plan, whether vested or unvested, were substituted and converted into options to purchase shares of our Class A common stock granted in accordance with the 2021 Equity Incentive Plan based on the exchange ratio of 0.306. All Legacy BuzzFeed outstanding RSUs under the 2015 Plan and 2008 Plan were substituted and converted into RSUs representing the opportunity to be issued shares of our Class A common stock granted in accordance with the 2021 Equity Incentive Plan based on the exchange ratio of 0.306. No additional awards were, or will be, granted under the 2015 Plan following the effectiveness of the 2021 Equity Incentive Plan.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 2021, prior to, and effective as of, the closing of the Business Combination, the 2021 Equity Incentive Plan (the “2021 Equity Incentive Plan”) was adopted by the 890 board and approved by the 890 stockholders. The 2021 Equity Incentive Plan allows the Company to grant awards of stock options, restricted stock awards, stock appreciation rights (SARs), RSUs, cash awards, performance awards, and stock bonus awards to officers, employees, directors and consultants. A total of 31,206,550 shares of our Class A common stock were reserved for issuance under the 2021 Equity Incentive Plan as of its effective date. The number of shares reserved for issuance under the Equity Incentive Plan will increase automatically on January 1 of each year from 2022 through 2031 by a number of shares equal to 5% of the total number of outstanding shares of all classes of common stock as of the immediately preceding December 31, or a lesser number as may be determined by our board of directors or its compensation committee. As such, an additional 6,977,162 shares of our Class A common stock became issuable from the automatic increase as of January 1, 2023 and 7,280,589 shares of our Class A common stock became issuable as of January 1,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stock option activity under the Company's equity incentive plans is presented below:</w:t>
      </w:r>
    </w:p>
    <w:tbl>
      <w:tblPr>
        <w:tblW w:w="8136" w:type="dxa"/>
        <w:jc w:val="left"/>
        <w:tblInd w:w="0" w:type="dxa"/>
        <w:tblLayout w:type="fixed"/>
        <w:tblCellMar>
          <w:top w:w="28" w:type="dxa"/>
          <w:left w:w="28" w:type="dxa"/>
          <w:bottom w:w="28" w:type="dxa"/>
          <w:right w:w="28" w:type="dxa"/>
        </w:tblCellMar>
      </w:tblPr>
      <w:tblGrid>
        <w:gridCol w:w="1190"/>
        <w:gridCol w:w="1044"/>
        <w:gridCol w:w="1051"/>
        <w:gridCol w:w="309"/>
        <w:gridCol w:w="309"/>
        <w:gridCol w:w="311"/>
        <w:gridCol w:w="109"/>
        <w:gridCol w:w="109"/>
        <w:gridCol w:w="109"/>
        <w:gridCol w:w="213"/>
        <w:gridCol w:w="517"/>
        <w:gridCol w:w="110"/>
        <w:gridCol w:w="109"/>
        <w:gridCol w:w="109"/>
        <w:gridCol w:w="109"/>
        <w:gridCol w:w="295"/>
        <w:gridCol w:w="295"/>
        <w:gridCol w:w="296"/>
        <w:gridCol w:w="109"/>
        <w:gridCol w:w="109"/>
        <w:gridCol w:w="109"/>
        <w:gridCol w:w="332"/>
        <w:gridCol w:w="639"/>
        <w:gridCol w:w="244"/>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 Value</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at December 31, 2023</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2023</w:t>
            </w:r>
          </w:p>
        </w:tc>
        <w:tc>
          <w:tcPr>
            <w:tcW w:w="9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Options are generally granted for a term of ten years from the date of grant. Options granted under the plans may be exercised prior to vesting. Stock options generally vest over four years based on service.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 awards is estimated on the date of grant using the Black-Scholes option-pricing model based upon the following range of assumptions:</w:t>
      </w:r>
    </w:p>
    <w:tbl>
      <w:tblPr>
        <w:tblW w:w="6878" w:type="dxa"/>
        <w:jc w:val="left"/>
        <w:tblInd w:w="0" w:type="dxa"/>
        <w:tblLayout w:type="fixed"/>
        <w:tblCellMar>
          <w:top w:w="28" w:type="dxa"/>
          <w:left w:w="28" w:type="dxa"/>
          <w:bottom w:w="28" w:type="dxa"/>
          <w:right w:w="28" w:type="dxa"/>
        </w:tblCellMar>
      </w:tblPr>
      <w:tblGrid>
        <w:gridCol w:w="772"/>
        <w:gridCol w:w="678"/>
        <w:gridCol w:w="679"/>
        <w:gridCol w:w="448"/>
        <w:gridCol w:w="448"/>
        <w:gridCol w:w="454"/>
        <w:gridCol w:w="109"/>
        <w:gridCol w:w="109"/>
        <w:gridCol w:w="109"/>
        <w:gridCol w:w="447"/>
        <w:gridCol w:w="447"/>
        <w:gridCol w:w="456"/>
        <w:gridCol w:w="109"/>
        <w:gridCol w:w="109"/>
        <w:gridCol w:w="109"/>
        <w:gridCol w:w="406"/>
        <w:gridCol w:w="406"/>
        <w:gridCol w:w="583"/>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$0.61 – $0.62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 –$5.31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$8.99 – $9.25</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 –97%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 – 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 –48%</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6.10– 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 – 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5.00 – 6.07</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4.17% – 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1.86% – 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0.80% – 1.04%</w:t>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simplified method in accordance with the applicable authoritative guidance to estimate the expected term of the option, due to the limited historical experience to date. The risk-free rate for the expected term of the option is based on the U.S. Treasury yield curve in effect at the time of grant. Since the Company’s common stock has not been publicly traded for a sufficient time period, the expected volatility is based on expected volatilities of similar companies that have a history of being publicly traded. No dividends have been assumed.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stock-based compensation expense on a straight-line basis over the vesting period. For a graded vesting award with both a service and a performance condition, the Company records stock-based compensation expense on a straight-line basis over the vesting period for each separately vesting portion of the award as if the award was, in-substance, multiple awards. As of December 31, 2023, the total share-based compensation costs not yet recognized related to unvested stock options was $0.7 million, which is expected to be recognized over the weighted-average remaining requisite service period of 1.0 years. The weighted average fair value of stock options granted during December 31, 2023, 2022 and 2021 was $0.61, $1.64, and $1.23, respectively. The intrinsic value of stock options exercised was $nil, $1.1 million, and $13.8 million for the years ended December 31, 2023, 2022 and 2021,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 activity is presented below:</w:t>
      </w:r>
    </w:p>
    <w:tbl>
      <w:tblPr>
        <w:tblW w:w="7406" w:type="dxa"/>
        <w:jc w:val="left"/>
        <w:tblInd w:w="0" w:type="dxa"/>
        <w:tblLayout w:type="fixed"/>
        <w:tblCellMar>
          <w:top w:w="28" w:type="dxa"/>
          <w:left w:w="28" w:type="dxa"/>
          <w:bottom w:w="28" w:type="dxa"/>
          <w:right w:w="28" w:type="dxa"/>
        </w:tblCellMar>
      </w:tblPr>
      <w:tblGrid>
        <w:gridCol w:w="1147"/>
        <w:gridCol w:w="1006"/>
        <w:gridCol w:w="1012"/>
        <w:gridCol w:w="228"/>
        <w:gridCol w:w="228"/>
        <w:gridCol w:w="233"/>
        <w:gridCol w:w="109"/>
        <w:gridCol w:w="109"/>
        <w:gridCol w:w="109"/>
        <w:gridCol w:w="776"/>
        <w:gridCol w:w="1879"/>
        <w:gridCol w:w="570"/>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6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there were approximately $5.5 million of unrecognized compensation costs related to RSUs. </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shd w:fill="FFFFFF" w:val="clear"/>
        </w:rPr>
        <w:t xml:space="preserve">The liquidity condition for </w:t>
      </w:r>
      <w:r>
        <w:rPr>
          <w:rFonts w:ascii="Times New Roman;sans-serif" w:hAnsi="Times New Roman;sans-serif"/>
          <w:b w:val="false"/>
          <w:color w:val="000000"/>
          <w:sz w:val="20"/>
        </w:rPr>
        <w:t>2.4 million</w:t>
      </w:r>
      <w:r>
        <w:rPr>
          <w:color w:val="000000"/>
          <w:shd w:fill="FFFFFF" w:val="clear"/>
        </w:rPr>
        <w:t xml:space="preserve"> </w:t>
      </w:r>
      <w:r>
        <w:rPr>
          <w:rFonts w:ascii="Times New Roman;sans-serif" w:hAnsi="Times New Roman;sans-serif"/>
          <w:b w:val="false"/>
          <w:color w:val="000000"/>
          <w:sz w:val="20"/>
          <w:shd w:fill="FFFFFF" w:val="clear"/>
        </w:rPr>
        <w:t xml:space="preserve">of the restricted stock units (“Liquidity 1 RSUs”) was satisfied upon the occurrence of a sale transaction (an “Acquisition”) or the completion of an initial public offering. The Business Combination did not result in the satisfaction of this liquidity condition, as it did not meet the definition of an Acquisition per the award agreements. </w:t>
      </w:r>
      <w:r>
        <w:rPr>
          <w:rFonts w:ascii="Times New Roman;sans-serif" w:hAnsi="Times New Roman;sans-serif"/>
          <w:b w:val="false"/>
          <w:color w:val="000000"/>
          <w:sz w:val="20"/>
        </w:rPr>
        <w:t>However, on May 12, 2022, the Company’s board of directors waived this liquidity condition, permitting the Liquidity 1 RSUs to vest (based on service). As a result, the Company recognized a cumulative catch-up adjustment of $8.2 million, of which $2.3 million was reflected in cost of revenue, excluding depreciation and amortization, $1.0 million was reflected in sales and marketing, $1.9 million was reflected in general and administrative, and $3.0 million was reflected in research and development, in each case, within the consolidated statement of operations for the year ended December 31,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At-The-Market-Offering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21, 2023, the Company filed a shelf registration statement on Form S-3 (the “Shelf Registration Statement”) under which it may, from time to time, sell securities in one or more offerings having an aggregate offering price of up to $150.0 million. The Shelf Registration Statement was declared effective as of April 5, 2023. On June 20, 2023, the Company entered into an At-The-Market Offering agreement with Craig-Hallum Capital Group LLC pursuant to which it may, from time to time, sell up to 13,266,011 shares of our Class A common stock. As of December 31, 2023, the Company sold, in the aggregate, 2,069,538 shares of our Class A common stock, at an average price of $0.52 per share, for aggregate net proceeds of $0.9 million after deducting commissions and offering expenses. The Company used the aggregate net proceeds for general corporate purposes, and the Company has 11,196,473 remaining shares available under the At-The-Market-Offering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Escrowed Shares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Business Combination, the Company’s Chief Executive Officer and Founder, Jonah Peretti, Jonah Peretti, LLC, NBCUniversal Media, LLC (“NBCU”), and PNC Bank National Association, entered into an amended and restated escrow agreement (the “Escrow Agreement”). The Escrow Agreement provided for, among other things, the escrow of 1,200,000 shares of our Class A common stock or our Class B common stock (the “Escrowed Shares”) exchangeable by Jonah Peretti, LLC in connection with the Business Combination. Pursuant to the Escrow Agreement, in the event the Transfer Date SPAC Share Price (as defined in the Escrow Agreement) was less than $12.50 per share on the Transfer Date (as defined in the Escrow Agreement), Jonah Peretti, LLC, and NBCU were to instruct the escrow agent to transfer (1) to NBCU a number of Escrowed Shares equal to the Make Whole Shares (as defined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Escrow Agreement) and (2) to Mr. Peretti, the remainder of the Escrowed Shares, if any. In accordance with the Escrow Agreement, on December 4, 2023, 1,200,000 shares of our Class B common stock were transferred to NBCU, which were automatically converted to Class A common stock on a one-to one basis upon receipt by NBCU, pursuant to our second amended and restated certificate of incorporation.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Escrow Agreement was accounted for as a compensatory stock-based compensation award with a market condition. As there are no future service conditions, the $5.4 million fair value of the award was recognized within general and administrative expense at the time of closing of the Business Combination. The fair value was estimated using a model based on multiple stock price paths developed through the use of a Monte Carlo simulation that incorporates into the valuation the likelihood that the market condition will be satisfied.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Net Loss Per Share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loss per share is computed using the two-class method. Basic net loss per share is computed using the weighted average number of shares of common stock outstanding for the period. Diluted net loss per share reflects the effect of the assumed exercise of any stock options, the vesting of any restricted stock units, the exercise of any warrants (including the Public Warrants and the Private Placement Warrants), the conversion of any convertible debt (including the Notes), and the conversion of any convertible preferred stock, in each case only in the periods in which such effect would have been dilutive.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Undistributed earnings were allocated to convertible preferred stock and shares of Class A common stock, Class B common stock, and Class C common stock based on the contractual participation rights of each as if earnings for the year had been distributed. Holders of convertible preferred stock outstanding prior to the Business Combination were entitled to noncumulative annual dividends at a rate of 8% of the applicable original issue price when, as and if declared by the Company’s board of directors and prior to and in preference of payment of dividends on the Company’s common stock. Thereafter, dividends would have been distributed among holders of Class A common stock, Class B common stock and convertible preferred stock on a proportionate basis, based on the number of shares of common stock that would be held by each holder if all shares of convertible preferred stock were converted to Class B common stock at the then-effective conversion rate.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net loss per share amounts were the same for Class A and Class B common stock because the holders of each class are entitled to equal per share dividends. For the years ended December 31, 2022 and 2021, net loss per share amounts were the same for Class A, Class B, and Class C common stock because the holders of each class are entitled to equal per share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computation of basic and diluted net income (loss) per share:</w:t>
      </w:r>
    </w:p>
    <w:tbl>
      <w:tblPr>
        <w:tblW w:w="10205" w:type="dxa"/>
        <w:jc w:val="left"/>
        <w:tblInd w:w="0" w:type="dxa"/>
        <w:tblLayout w:type="fixed"/>
        <w:tblCellMar>
          <w:top w:w="28" w:type="dxa"/>
          <w:left w:w="28" w:type="dxa"/>
          <w:bottom w:w="28" w:type="dxa"/>
          <w:right w:w="28" w:type="dxa"/>
        </w:tblCellMar>
      </w:tblPr>
      <w:tblGrid>
        <w:gridCol w:w="2331"/>
        <w:gridCol w:w="1965"/>
        <w:gridCol w:w="1976"/>
        <w:gridCol w:w="211"/>
        <w:gridCol w:w="775"/>
        <w:gridCol w:w="109"/>
        <w:gridCol w:w="109"/>
        <w:gridCol w:w="109"/>
        <w:gridCol w:w="109"/>
        <w:gridCol w:w="211"/>
        <w:gridCol w:w="880"/>
        <w:gridCol w:w="109"/>
        <w:gridCol w:w="109"/>
        <w:gridCol w:w="109"/>
        <w:gridCol w:w="109"/>
        <w:gridCol w:w="211"/>
        <w:gridCol w:w="616"/>
        <w:gridCol w:w="157"/>
      </w:tblGrid>
      <w:tr>
        <w:trPr/>
        <w:tc>
          <w:tcPr>
            <w:tcW w:w="2331"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9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income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income from discontinued operations, net of tax</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Less: net income attributable to the redeemable noncontrolling interest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Less: net (loss) income attributable to noncontrolling interests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Allocation of undistributed earnings to convertible preferred stock</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attributable to holders of Class A, Class B, and Class C common stock for basic net loss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Add: interest on Notes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Deduct: change in fair value of derivative liability</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Reallocation of undistributed earnings to convertible preferred stock</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attributable to holders of Class A, Class B, and Class C common stock for diluted net loss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Amounts attributable to BuzzFeed, Inc for net loss per common share, basic:</w:t>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discontinued operations, net of tax</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BuzzFeed,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Amounts attributable to BuzzFeed, Inc for net loss per common share, diluted:</w:t>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discontinued operations, net of tax</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BuzzFeed,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27,048</w:t>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Impact of assumed conversion of Notes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Weighted average common shares outstanding, diluted</w:t>
            </w:r>
          </w:p>
        </w:tc>
        <w:tc>
          <w:tcPr>
            <w:tcW w:w="109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28,001</w:t>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231F20"/>
                <w:sz w:val="20"/>
              </w:rPr>
            </w:pPr>
            <w:r>
              <w:rPr>
                <w:rFonts w:ascii="Times New Roman;sans-serif" w:hAnsi="Times New Roman;sans-serif"/>
                <w:b/>
                <w:color w:val="231F20"/>
                <w:sz w:val="20"/>
              </w:rPr>
              <w:t>Net loss per common share, basic:</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Discontinued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231F20"/>
                <w:sz w:val="20"/>
              </w:rPr>
            </w:pPr>
            <w:r>
              <w:rPr>
                <w:rFonts w:ascii="Times New Roman;sans-serif" w:hAnsi="Times New Roman;sans-serif"/>
                <w:b/>
                <w:color w:val="231F20"/>
                <w:sz w:val="20"/>
              </w:rPr>
              <w:t>Net loss per common share, basic, attributable to BuzzFeed,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231F20"/>
                <w:sz w:val="20"/>
              </w:rPr>
            </w:pPr>
            <w:r>
              <w:rPr>
                <w:rFonts w:ascii="Times New Roman;sans-serif" w:hAnsi="Times New Roman;sans-serif"/>
                <w:b/>
                <w:color w:val="231F20"/>
                <w:sz w:val="20"/>
              </w:rPr>
              <w:t>Net loss per common share, diluted:</w:t>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Discontinued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231F20"/>
                <w:sz w:val="20"/>
              </w:rPr>
            </w:pPr>
            <w:r>
              <w:rPr>
                <w:rFonts w:ascii="Times New Roman;sans-serif" w:hAnsi="Times New Roman;sans-serif"/>
                <w:b/>
                <w:color w:val="231F20"/>
                <w:sz w:val="20"/>
              </w:rPr>
              <w:t>Net loss per common share, diluted, attributable to BuzzFeed, Inc.</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numerator for net loss per basic and diluted common share from continuing operations excludes the impact of (i) net income attributable to the redeemable noncontrolling interests and (ii) net (loss) income attributable to the noncontrolling interests for all periods presented.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details of securities that were excluded from the calculation of diluted net loss per share as the effect would have been anti-dilutive:</w:t>
      </w:r>
    </w:p>
    <w:tbl>
      <w:tblPr>
        <w:tblW w:w="4287" w:type="dxa"/>
        <w:jc w:val="left"/>
        <w:tblInd w:w="0" w:type="dxa"/>
        <w:tblLayout w:type="fixed"/>
        <w:tblCellMar>
          <w:top w:w="28" w:type="dxa"/>
          <w:left w:w="28" w:type="dxa"/>
          <w:bottom w:w="28" w:type="dxa"/>
          <w:right w:w="28" w:type="dxa"/>
        </w:tblCellMar>
      </w:tblPr>
      <w:tblGrid>
        <w:gridCol w:w="678"/>
        <w:gridCol w:w="596"/>
        <w:gridCol w:w="601"/>
        <w:gridCol w:w="189"/>
        <w:gridCol w:w="189"/>
        <w:gridCol w:w="193"/>
        <w:gridCol w:w="109"/>
        <w:gridCol w:w="109"/>
        <w:gridCol w:w="109"/>
        <w:gridCol w:w="189"/>
        <w:gridCol w:w="189"/>
        <w:gridCol w:w="193"/>
        <w:gridCol w:w="109"/>
        <w:gridCol w:w="109"/>
        <w:gridCol w:w="109"/>
        <w:gridCol w:w="179"/>
        <w:gridCol w:w="179"/>
        <w:gridCol w:w="258"/>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Restricted stock units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Warrants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calculation of diluted net loss per share excluded 2.4 million restricted stock units at December 31, 2021, for which the related liquidity condition had not been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domestic and foreign components of (loss) income before provision for income taxes on continuing operations were as follows:</w:t>
      </w:r>
    </w:p>
    <w:tbl>
      <w:tblPr>
        <w:tblW w:w="7316" w:type="dxa"/>
        <w:jc w:val="left"/>
        <w:tblInd w:w="0" w:type="dxa"/>
        <w:tblLayout w:type="fixed"/>
        <w:tblCellMar>
          <w:top w:w="28" w:type="dxa"/>
          <w:left w:w="28" w:type="dxa"/>
          <w:bottom w:w="28" w:type="dxa"/>
          <w:right w:w="28" w:type="dxa"/>
        </w:tblCellMar>
      </w:tblPr>
      <w:tblGrid>
        <w:gridCol w:w="1212"/>
        <w:gridCol w:w="1064"/>
        <w:gridCol w:w="1068"/>
        <w:gridCol w:w="211"/>
        <w:gridCol w:w="796"/>
        <w:gridCol w:w="109"/>
        <w:gridCol w:w="109"/>
        <w:gridCol w:w="109"/>
        <w:gridCol w:w="109"/>
        <w:gridCol w:w="211"/>
        <w:gridCol w:w="901"/>
        <w:gridCol w:w="109"/>
        <w:gridCol w:w="109"/>
        <w:gridCol w:w="109"/>
        <w:gridCol w:w="109"/>
        <w:gridCol w:w="211"/>
        <w:gridCol w:w="616"/>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(131,717)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income before income taxes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(58,730)</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(137,780)</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on continuing operations consisted of the following:</w:t>
      </w:r>
    </w:p>
    <w:tbl>
      <w:tblPr>
        <w:tblW w:w="6582" w:type="dxa"/>
        <w:jc w:val="left"/>
        <w:tblInd w:w="0" w:type="dxa"/>
        <w:tblLayout w:type="fixed"/>
        <w:tblCellMar>
          <w:top w:w="28" w:type="dxa"/>
          <w:left w:w="28" w:type="dxa"/>
          <w:bottom w:w="28" w:type="dxa"/>
          <w:right w:w="28" w:type="dxa"/>
        </w:tblCellMar>
      </w:tblPr>
      <w:tblGrid>
        <w:gridCol w:w="1061"/>
        <w:gridCol w:w="930"/>
        <w:gridCol w:w="934"/>
        <w:gridCol w:w="211"/>
        <w:gridCol w:w="691"/>
        <w:gridCol w:w="109"/>
        <w:gridCol w:w="109"/>
        <w:gridCol w:w="109"/>
        <w:gridCol w:w="109"/>
        <w:gridCol w:w="211"/>
        <w:gridCol w:w="616"/>
        <w:gridCol w:w="109"/>
        <w:gridCol w:w="109"/>
        <w:gridCol w:w="109"/>
        <w:gridCol w:w="109"/>
        <w:gridCol w:w="211"/>
        <w:gridCol w:w="691"/>
        <w:gridCol w:w="154"/>
      </w:tblGrid>
      <w:tr>
        <w:trPr/>
        <w:tc>
          <w:tcPr>
            <w:tcW w:w="106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(benefit) / provision</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(benefit) / provision</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(benefit) / provision</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(benefit) / provision</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(benefit) / provision</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(benefit) /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U.S. federal statutory income tax rate on continuing operations of 21% for the years ended December 31, 2023, 2022 and 2021 to the Company’s effective tax rate is as follows:</w:t>
      </w:r>
    </w:p>
    <w:tbl>
      <w:tblPr>
        <w:tblW w:w="9101" w:type="dxa"/>
        <w:jc w:val="left"/>
        <w:tblInd w:w="0" w:type="dxa"/>
        <w:tblLayout w:type="fixed"/>
        <w:tblCellMar>
          <w:top w:w="28" w:type="dxa"/>
          <w:left w:w="28" w:type="dxa"/>
          <w:bottom w:w="28" w:type="dxa"/>
          <w:right w:w="28" w:type="dxa"/>
        </w:tblCellMar>
      </w:tblPr>
      <w:tblGrid>
        <w:gridCol w:w="1865"/>
        <w:gridCol w:w="1644"/>
        <w:gridCol w:w="1650"/>
        <w:gridCol w:w="211"/>
        <w:gridCol w:w="796"/>
        <w:gridCol w:w="109"/>
        <w:gridCol w:w="109"/>
        <w:gridCol w:w="109"/>
        <w:gridCol w:w="109"/>
        <w:gridCol w:w="211"/>
        <w:gridCol w:w="796"/>
        <w:gridCol w:w="109"/>
        <w:gridCol w:w="109"/>
        <w:gridCol w:w="109"/>
        <w:gridCol w:w="109"/>
        <w:gridCol w:w="211"/>
        <w:gridCol w:w="691"/>
        <w:gridCol w:w="154"/>
      </w:tblGrid>
      <w:tr>
        <w:trPr/>
        <w:tc>
          <w:tcPr>
            <w:tcW w:w="1865"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(benefit) provision at the U.S.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operations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162(m)</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and warrant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GILTI inclusion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change in tax rates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&amp; development tax credits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&amp; transactions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(benefit)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the Company’s effective tax rate was (2.7)%, (2.0)% and (245.2)% respectively. For the year ended December 31, 2023, the Company’s effective tax rate differed from the U.S. federal statutory income tax rate of 21% primarily related to a valuation allowance against net deferred tax assets that were not realizable on a more-likely-than-not basis. For the year ended December 31, 2022, the Company’s effective tax rate differed from the U.S. federal statutory income tax rate of 21% primarily related to both a valuation allowance against net deferred tax assets that were not realizable on a more-likely-than-not basis and the impairment of non-deductible goodwill for which no tax benefit was provided. For the year ended December 31, 2021, the Company’s effective tax rate differed from the U.S. federal statutory income tax rate of 21% primarily due to the partial release of the Company’s U.S. valuation allowance as a result of the February 2021 acquisition of HuffPost (the “HuffPost Acquisition”). The Company recorded excess deferred tax liabilities related to the Business Combination which provided a source of future taxable income to support this partial realization of the Company’s pre-existing deferred tax assets. The income tax benefit related to this change in the Company’s valuation allowance was offset by an income tax provision for foreign taxes.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the Inflation Reduction Act and CHIPS and Science Act were both enacted. This new legislation included the implementation of a new corporate alternative minimum tax, an excise tax on stock buybacks, and tax incentives for energy and climate initiatives, among other provisions. The income tax provisions of the legislation had limited applicability to the Company and did not have a material impact on the Company’s consolidated financial statements.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On October 8, 2021, the Organization for Economic Co-operation and Development (“OECD”) released a statement on the OECD/G20 Inclusive Framework on Base Erosion and Profit Sharing, which agreed to a two-pillar solution to address tax challenges of the digital economy.</w:t>
      </w:r>
      <w:r>
        <w:rPr>
          <w:color w:val="000000"/>
        </w:rPr>
        <w:t xml:space="preserve"> </w:t>
      </w:r>
      <w:r>
        <w:rPr>
          <w:rFonts w:ascii="Times New Roman;sans-serif" w:hAnsi="Times New Roman;sans-serif"/>
          <w:b w:val="false"/>
          <w:color w:val="000000"/>
          <w:sz w:val="20"/>
        </w:rPr>
        <w:t>On December 20, 2021, the OECD released “Pillar Two” model rules defining a 15% global minimum tax rate for large multinational corporations with consolidated revenue above €750 million (or approximately $827.7 million as of December 31, 2023). The OECD continues to release additional guidance and countries are implementing legislation with widespread adoption of the “Pillar Two Framework” expected by calendar year 2024. The Company continues to evaluate the Pillar Two Framework and its potential impact on future periods, however based on the current proposed revenue thresholds, the Company does not expect to be subject to tax changes associated with Pillar Two.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deferred tax assets and liabilities as of were as follows:</w:t>
      </w:r>
    </w:p>
    <w:tbl>
      <w:tblPr>
        <w:tblW w:w="5619" w:type="dxa"/>
        <w:jc w:val="left"/>
        <w:tblInd w:w="0" w:type="dxa"/>
        <w:tblLayout w:type="fixed"/>
        <w:tblCellMar>
          <w:top w:w="28" w:type="dxa"/>
          <w:left w:w="28" w:type="dxa"/>
          <w:bottom w:w="28" w:type="dxa"/>
          <w:right w:w="28" w:type="dxa"/>
        </w:tblCellMar>
      </w:tblPr>
      <w:tblGrid>
        <w:gridCol w:w="1068"/>
        <w:gridCol w:w="940"/>
        <w:gridCol w:w="947"/>
        <w:gridCol w:w="211"/>
        <w:gridCol w:w="826"/>
        <w:gridCol w:w="109"/>
        <w:gridCol w:w="109"/>
        <w:gridCol w:w="109"/>
        <w:gridCol w:w="109"/>
        <w:gridCol w:w="211"/>
        <w:gridCol w:w="82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174 capitalized R&amp;D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production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state income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(liability) asset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deferred tax assets are included within prepaid expenses and other assets and net deferred tax liabilities are included within other liabilities on the Company’s consolidated balance sheets.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In assessing the realizability of its deferred tax assets, the Company considered whether it is more likely than not that some portion or all of the deferred tax assets will not be realized. Based upon the weight of available evidence, the Company concluded it is more likely than not that it will not be able to realize its U.S. deferred tax assets and therefore has maintained a full valuation allowance on its U.S. deferred tax assets.</w:t>
      </w:r>
      <w:r>
        <w:rPr>
          <w:color w:val="000000"/>
        </w:rPr>
        <w:t xml:space="preserve"> </w:t>
      </w:r>
      <w:r>
        <w:rPr>
          <w:rFonts w:ascii="Times New Roman;sans-serif" w:hAnsi="Times New Roman;sans-serif"/>
          <w:b w:val="false"/>
          <w:color w:val="000000"/>
          <w:sz w:val="20"/>
        </w:rPr>
        <w:t>In addition, the Company maintains a valuation allowance against certain deferred tax assets in the United Kingdom (the “U.K.”), Spain, Japan and Canada. The Company’s valuation allowance increased by approximately $11.7 million in 2023.</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U.S. federal and state NOLs of approximately $358.3 million and $13.3 million, respectively. Of the $358.3 million of U.S. federal NOLs, $202.2 million expire in tax year beginning 2030 through 2037 if not utilized and $156.1 million that have an indefinite lived carryforward period. The $13.3 million of state NOLs will expire in tax years beginning in 2025 to 2043 if not utilized. As of December 31, 2023, the Company has foreign NOL carryforwards of $1.1 million in Canada expiring in 2041 through 2043, $5.0 million in Japan expiring in 2026 through 2033, and $1.3 million in Spain and $15.9 million in the U.K., both with indefinite carryforward periods. Utilization of NOLs and tax credit carryforwards are subject to certain limitations under Section 382 of the Internal Revenue Code of 1986, as amended (the “Code”), in the event of a change in the Company’s ownership, as defined in current income tax regulations.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deferred interest expense carryforwards under Section 163(j) of the Code of $47.2 million which may be carried forward indefinitely but only available to offset 30% of tax adjusted earnings before interest and taxes (EBIT). In addition, the Company had federal research and development tax credits of approximately $7.5 million, which expire in the tax years beginning in 2032 through 2040, if not utilized.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current taxation of certain foreign subsidiaries under GILTI and one-time transition taxation enacted as part of the Tax Cut and Jobs Act, the Company intends to continue to reinvest its foreign earnings indefinitely outside the U.S. If these future earnings are repatriated to the U.S., or if the Company determines that such earnings will be remitted in the foreseeable future, the Company may be required to accrue U.S. deferred taxes (if any) and applicable withholding taxes. It is not practicable to estimate the tax impact of the reversal of the outside basis difference, or the repatriation of cash due to the complexity of its hypothetical calculation.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applicable authoritative guidance which prescribes a comprehensive model in which a company should recognize, measure, present and disclose in its financial statements all material uncertain tax positions that the Company has taken or expects to take on a tax return. The Company recognizes interest and penalties related to income tax positions taken on the Company’s tax returns in income tax expense in the consolidated statements of operations. As of December 31, 2023 and 2022, the Company recorded an uncertain tax position of $nil including interest and penalties related to state taxes. As of December 31, 2023 and 2022, the Company had no uncertain tax positions.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or one of its subsidiaries, files its tax returns in the U.S. and certain state and foreign income tax jurisdictions with varying statute of limitations. The earliest years’ tax returns filed by the Company that are still subject to examination by the tax authorities in the major jurisdictions are as follows:</w:t>
      </w:r>
    </w:p>
    <w:tbl>
      <w:tblPr>
        <w:tblW w:w="2056" w:type="dxa"/>
        <w:jc w:val="left"/>
        <w:tblInd w:w="0" w:type="dxa"/>
        <w:tblLayout w:type="fixed"/>
        <w:tblCellMar>
          <w:top w:w="28" w:type="dxa"/>
          <w:left w:w="28" w:type="dxa"/>
          <w:bottom w:w="28" w:type="dxa"/>
          <w:right w:w="28" w:type="dxa"/>
        </w:tblCellMar>
      </w:tblPr>
      <w:tblGrid>
        <w:gridCol w:w="539"/>
        <w:gridCol w:w="472"/>
        <w:gridCol w:w="474"/>
        <w:gridCol w:w="167"/>
        <w:gridCol w:w="167"/>
        <w:gridCol w:w="237"/>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Years</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Restructuring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2023, the Company announced plans to reduce expenses by implementing an approximately 15% reduction in the then-current workforce. The reduction in workforce plan was part of a broader strategic reprioritization across the Company in order to improve upon profitability and cash flow. The Company incurred approximately $6.8 million of restructuring costs for the year ended December 31, 2023, comprised mainly of severance and related benefit costs, of which $4.3 million were included in cost of revenue, excluding depreciation and amortization, $1.3 million were included in sales and marketing, $0.4 million were included in general and administrative, and $0.8 million were included in research and development.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the Company’s board of directors authorized a reduction in workforce plan, which included a reduction of our then-current global employee headcount by approximately 12%. The reduction in workforce plan was intended to reduce the Company’s costs in response to a combination of factors, including: (i) challenging macroeconomic conditions; (ii) completing the integration of Complex Networks and eliminating redundancies where they existed; and (iii) an ongoing audience shift to short-form, vertical video, which was still developing from a monetization standpoint. The Company incurred approximately $5.3 million of restructuring costs related to these actions.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2022, in connection with the acquisition of Complex Networks, the Company approved certain organizational changes to align sales and marketing and general and administrative functions as well as changes in content to better serve audience demands. Additionally, in June 2022, as part of a strategic repositioning of BuzzFeed News, the Company entered into a voluntary buyout proposal covering certain desks which was negotiated as part of collective bargaining between the Company and the BuzzFeed News Union. The Company incurred approximately $4.9 million of restructuring costs related to these actions.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the Company incurred approximately $10.2 million of aggregate restructuring costs for the year ended December 31, 2022, comprised mainly of severance and related benefit costs. For the year ended December 31, 2022, approximately $5.7 million were included in cost of revenue, excluding depreciation and amortization, $1.6 million were included in sales and marketing, $0.9 million were included in general and administrative, and $2.0 million were included in research and development.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Company announced a restructuring of HuffPost, including employee terminations, in order to efficiently integrate HuffPost and establish an efficient cost structure. The Company incurred approximately $3.6 million in severance costs related to the restructuring, of which $3.2 million were included in cost of revenue, excluding depreciation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amortization, $0.3 million were included in sales and marketing, and $0.1 million were included in research and development. </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2024, the Company announced plans to reduce expenses by implementing an approximately 16% reduction in the then-current workforce (after the Disposition). Refer to Note 23 herein for further details on this restructuring.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15. Leases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FASB issued ASU 2016-02, “Leases (Topic 842),” (“ASC 842”) which supersedes existing guidance on accounting for leases in Leases (Topic 840) and generally requires leased assets and lease liabilities to be recognized on the balance sheet. On January 1, 2022, the Company adopted ASC 842 using the modified retrospective method. Prior period amounts were not adjusted and continue to be reported in accordance with historical accounting under ASC 840.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under non-cancelable operating leases with various expiration dates through 2029. The Company accounts for leases under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subleases certain leased office space to third parties when it determines there is excess leased capacity. On July 8, 2022, the Company entered into a sublease with a third party with respect to substantially all of the Company’s then-existing corporate headquarters. The sublease commenced on August 26, 2022 and expires on May 30, 2026, unless terminated sooner in accordance with the provisions of the sublease. Pursuant to the terms of the sublease, the subtenant is obligated to pay a fixed monthly rent of $0.8 million, subject to periodic increases. In-lieu of a cash security deposit, the Company received a letter of credit from Citibank for approximately $4.5 million. Refer to Note 21 herein for information regarding an impairment charge the Company recorded during the year ended December 31, 2022 with respect to the original lease. On February 21, 2024, in connection with the Disposition, the Company licensed the use of office space in our corporate headquarters. Refer to Note 23 herein for further details on this arrangement.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illustrates the lease costs for the year ended December 31, 2023 and 2022:</w:t>
      </w:r>
    </w:p>
    <w:tbl>
      <w:tblPr>
        <w:tblW w:w="4209" w:type="dxa"/>
        <w:jc w:val="left"/>
        <w:tblInd w:w="0" w:type="dxa"/>
        <w:tblLayout w:type="fixed"/>
        <w:tblCellMar>
          <w:top w:w="28" w:type="dxa"/>
          <w:left w:w="28" w:type="dxa"/>
          <w:bottom w:w="28" w:type="dxa"/>
          <w:right w:w="28" w:type="dxa"/>
        </w:tblCellMar>
      </w:tblPr>
      <w:tblGrid>
        <w:gridCol w:w="635"/>
        <w:gridCol w:w="558"/>
        <w:gridCol w:w="562"/>
        <w:gridCol w:w="211"/>
        <w:gridCol w:w="721"/>
        <w:gridCol w:w="109"/>
        <w:gridCol w:w="109"/>
        <w:gridCol w:w="109"/>
        <w:gridCol w:w="109"/>
        <w:gridCol w:w="211"/>
        <w:gridCol w:w="72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components of total lease cost are recorded within general and administrative expenses within the consolidated statement of operations. The Company does not have material short-term or variable lease costs.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amounts were recorded in the Company’s consolidated balance sheet related to operating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tbl>
      <w:tblPr>
        <w:tblW w:w="4871" w:type="dxa"/>
        <w:jc w:val="left"/>
        <w:tblInd w:w="0" w:type="dxa"/>
        <w:tblLayout w:type="fixed"/>
        <w:tblCellMar>
          <w:top w:w="28" w:type="dxa"/>
          <w:left w:w="28" w:type="dxa"/>
          <w:bottom w:w="28" w:type="dxa"/>
          <w:right w:w="28" w:type="dxa"/>
        </w:tblCellMar>
      </w:tblPr>
      <w:tblGrid>
        <w:gridCol w:w="835"/>
        <w:gridCol w:w="735"/>
        <w:gridCol w:w="740"/>
        <w:gridCol w:w="222"/>
        <w:gridCol w:w="759"/>
        <w:gridCol w:w="114"/>
        <w:gridCol w:w="109"/>
        <w:gridCol w:w="109"/>
        <w:gridCol w:w="109"/>
        <w:gridCol w:w="221"/>
        <w:gridCol w:w="757"/>
        <w:gridCol w:w="161"/>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was as follows:</w:t>
      </w:r>
    </w:p>
    <w:tbl>
      <w:tblPr>
        <w:tblW w:w="8649" w:type="dxa"/>
        <w:jc w:val="left"/>
        <w:tblInd w:w="0" w:type="dxa"/>
        <w:tblLayout w:type="fixed"/>
        <w:tblCellMar>
          <w:top w:w="28" w:type="dxa"/>
          <w:left w:w="28" w:type="dxa"/>
          <w:bottom w:w="28" w:type="dxa"/>
          <w:right w:w="28" w:type="dxa"/>
        </w:tblCellMar>
      </w:tblPr>
      <w:tblGrid>
        <w:gridCol w:w="2243"/>
        <w:gridCol w:w="1971"/>
        <w:gridCol w:w="1981"/>
        <w:gridCol w:w="211"/>
        <w:gridCol w:w="721"/>
        <w:gridCol w:w="109"/>
        <w:gridCol w:w="109"/>
        <w:gridCol w:w="109"/>
        <w:gridCol w:w="109"/>
        <w:gridCol w:w="211"/>
        <w:gridCol w:w="721"/>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measurement of lease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transactions: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tbl>
      <w:tblPr>
        <w:tblW w:w="6743" w:type="dxa"/>
        <w:jc w:val="left"/>
        <w:tblInd w:w="0" w:type="dxa"/>
        <w:tblLayout w:type="fixed"/>
        <w:tblCellMar>
          <w:top w:w="28" w:type="dxa"/>
          <w:left w:w="28" w:type="dxa"/>
          <w:bottom w:w="28" w:type="dxa"/>
          <w:right w:w="28" w:type="dxa"/>
        </w:tblCellMar>
      </w:tblPr>
      <w:tblGrid>
        <w:gridCol w:w="1410"/>
        <w:gridCol w:w="1241"/>
        <w:gridCol w:w="1249"/>
        <w:gridCol w:w="308"/>
        <w:gridCol w:w="308"/>
        <w:gridCol w:w="607"/>
        <w:gridCol w:w="109"/>
        <w:gridCol w:w="109"/>
        <w:gridCol w:w="109"/>
        <w:gridCol w:w="308"/>
        <w:gridCol w:w="308"/>
        <w:gridCol w:w="677"/>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Maturities of lease liabilities as December 31, 2023 were as follows: </w:t>
      </w:r>
    </w:p>
    <w:tbl>
      <w:tblPr>
        <w:tblW w:w="2991" w:type="dxa"/>
        <w:jc w:val="left"/>
        <w:tblInd w:w="0" w:type="dxa"/>
        <w:tblLayout w:type="fixed"/>
        <w:tblCellMar>
          <w:top w:w="28" w:type="dxa"/>
          <w:left w:w="28" w:type="dxa"/>
          <w:bottom w:w="28" w:type="dxa"/>
          <w:right w:w="28" w:type="dxa"/>
        </w:tblCellMar>
      </w:tblPr>
      <w:tblGrid>
        <w:gridCol w:w="685"/>
        <w:gridCol w:w="604"/>
        <w:gridCol w:w="616"/>
        <w:gridCol w:w="211"/>
        <w:gridCol w:w="721"/>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Sublease receipts to be received in the future under noncancellable subleases as of December 31, 2023 were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tbl>
      <w:tblPr>
        <w:tblW w:w="2032" w:type="dxa"/>
        <w:jc w:val="left"/>
        <w:tblInd w:w="0" w:type="dxa"/>
        <w:tblLayout w:type="fixed"/>
        <w:tblCellMar>
          <w:top w:w="28" w:type="dxa"/>
          <w:left w:w="28" w:type="dxa"/>
          <w:bottom w:w="28" w:type="dxa"/>
          <w:right w:w="28" w:type="dxa"/>
        </w:tblCellMar>
      </w:tblPr>
      <w:tblGrid>
        <w:gridCol w:w="340"/>
        <w:gridCol w:w="300"/>
        <w:gridCol w:w="306"/>
        <w:gridCol w:w="211"/>
        <w:gridCol w:w="721"/>
        <w:gridCol w:w="154"/>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Guarantees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lawsuits and claims in the ordinary course of business. Although the outcome of such matters cannot be predicted with certainty and the impact that the final resolution of such matters will ultimately have on the Company’s consolidated financial statements is not known, the Company does not believe that the resolution of these matters will have a material adverse effect on the Company’s future results of operations or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settled or resolved certain legal matters during the years ended December 31, 2023, 2022 and 2021 that did not individually or in the aggregate have a material impact on the Company’s business or its consolidated financial position, results of operations or cash flows.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Video Privacy Protection Act: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2023, a lawsuit titled Hunthausen v. BuzzFeed, Inc. was filed against the Company in the United States District Court for the Southern District of California, asserting class action claims for alleged violation of the Video Privacy Protection Act (“VPPA”) based on the claimed transmission of personally identifying information via the Meta pixel, Google Analytics, and the TikTok pixel, all of which are purportedly connected to posts on the BuzzFeed.com website. The putative class plaintiff was seeking an injunction to stop further alleged wrongful conduct, to recover unspecified compensatory damages and an award of costs, and any further appropriate relief. The matter was settled on January 4, 2024 and is now disposed.</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the Company received 8,927 individual demands for JAMS arbitration in California, all of which allege that the Company violated the VPPA by transmitting personally identifying information via the Meta pixel, purportedly connected to posts on the BuzzFeed website. Each claimant was seeking to recover damages in the amount of $2,500 (actual dollars) for each alleged violation of the VPPA. We provisionally settled these claims on January 29, 2024.</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15, 2023, the Company received (1) 5,247 individual demands for JAMS arbitration in California, all of which allege that the Company violated the VPPA by transmitting personally identifying information via the use of various pixels purportedly in connection with the HuffPost.com website; and (2) 12,176 individual demands for JAMS arbitration in California, all of which allege that the Company violated the VPPA by transmitting personal identifying information via the use of various pixels purportedly in connection with the BuzzFeed.com website. Each claimant was seeking to recover damages in the amount of $2,500 (actual dollars) for each alleged violation of the VPPA, as well as punitive damages, attorneys’ fees and costs, and equitable relief. We provisionally settled these claims on January 16,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31, 2023, we received 590 individual demands for JAMS arbitration in California, all of which allege that we violated the VPPA by transmitting personally identifying information via the use of various pixels purportedly in connection with the BuzzFeed.com website. Each claimant was seeking to recover damages in the amount of $2,500 (actual dollars) for each alleged violation of the VPPA. We provisionally settled these claims on January 29,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Mass Arbitrations: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Two mass arbitrations (the “Arbitrations”) were initiated before the American Arbitration Association (the “AAA”) on March 15, 2022 against the Company and certain of its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21, 2022, the BuzzFeed Defendants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2023, the Claimants filed amended statements of claim in the Arbitrations against BuzzFeed Media Enterprises, Inc., a wholly-owned subsidiary of the Company, and Continental Stock Transfer &amp; Trust Corporation, the transfer agent for 890 and, later, for the Company.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2023, BuzzFeed Media Enterprises, Inc.,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complaint seeks declaratory and injunctive relief. The parties cross-moved for summary judgment.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20, 2023, the Court of Chancery heard oral arguments on the Company’s motion for summary judgment and the Claimants’ cross-motion to dismiss the Company’s complaint. The arbitrations are stayed until the Court resolves the motions on the merits. The decision of the Court is pending.</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Nasdaq Listing Compliance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2023, the Company received a letter (the “Notice”) from the Listing Qualifications Department (the “Staff”) of The Nasdaq Stock Market LLC (“Nasdaq”) notifying the Company that, for the previous 30 consecutive business days, the bid price for the Company’s Class A common stock had closed below the minimum $1.00 per share requirement for continued listing on The Nasdaq Global Market under Nasdaq Listing Rule 5550(a)(2) (the “Bid Price Requirement”).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Nasdaq Listing Rule 5810(c)(3)(A), the Company was provided an initial period of 180 calendar days, or until November 27, 2023, to regain compliance with the Bid Price Requirement. The Company did not regain compliance with the Bid Price Requirement on or before November 27, 2023. However, upon receipt of both the Company’s application to transfer from The Nasdaq Global Market to The Nasdaq Capital Market and a written notification by the Company of its intent to regain compliance with the Bid Price Requirement, including by effecting a reverse stock split, if necessary, the Staff notified the Company in a letter dated November 28, 2023, that the Company was eligible for an additional 180-day period, or until May 28, 2024, to regain compliance (the “Second Compliance Period”). The Staff’s determination was based, in part, on the Company meeting the continued listing requirement with respect to the market value of publicly held shares and all other applicable requirements for initial listing on The Nasdaq Capital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Minimum Bid Price Requirement. As of the opening of business November 30, 2023, the Company’s Class A common stock and warrants were transferred to The Nasdaq Capital Market, which operates in substantially the same manner as The Nasdaq Global Market, where they continue to trade under the symbols “BZFD” and “BZFDW,” respectively.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at any time before the end of the Second Compliance Period, the bid price for the Company’s Class A common stock closes at $1.00 or more for at least 10 consecutive business days, unless the Staff exercises its discretion to extend this 10-day period pursuant to Nasdaq Listing Rule 5810(c)(3)(H), the Staff will provide written notification to the Company that it has regained compliance with the Bid Price Requirement.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intends to monitor the closing bid price of its Class A common stock until the expiration of the Second Compliance Period. If necessary, the Company’s plan to regain compliance includes the implementation of a reverse stock split. The Company intends to seek stockholder approval to effect a reverse stock split at the Company’s 2024 annual meeting of stockholders on April 25, 2024. Such approval would allow the Company’s board of directors, in its discretion, to elect to implement such reverse stock split at any time prior to April 25, 2025 (i.e., within one year of the date the proposal is approved by our stockholders). Completing a reverse stock split will not, in of itself, cause the Company to remain in compliance with Nasdaq’s listing standards. If the Company chooses to effect a reverse stock split, it will have to be implemented no later than ten business days prior to the end of the Second Compliance Period (i.e., by May 13, 2024).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does not regain compliance with the Minimum Bid Price Requirement by the end of the Second Compliance Period (i.e., by May 28, 2024), Nasdaq will notify the Company that its securities are subject to delisting. In the event of such a notification, the Company may appeal the Staff’s determination to delist its securities before the Nasdaq Listing Qualifications Panel. However, there can be no assurance that, if the Company receives a delisting notice and appeals the delisting determination, such an appeal would be successful.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17. Segment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enterprise about which separate financial information is available that is evaluated regularly by the CODM, in deciding how to allocate resources and in assessing performance.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its chief executive officer is its CODM who makes resource allocation decisions and assesses performance based upon financial information at the consolidated level. The Company manages its operations as a single segment for the purpose of assessing and making operating decisions. Since the Company operates in one operating segment, all required financial segment information can be found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18. Related Party Transactions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in connection with the merger agreement pursuant to which the Business Combination was consummated, and effective as of the closing of the Business Combination, BuzzFeed entered into a Commercial Agreement with NBCU, a holder of 5% or more of our Class A common stock, pursuant to which, among other things: (1) NBCU continues to be entitled to marketing services on BuzzFeed platforms at certain discounted rates; (2) BuzzFeed provides editorial promotion of at least $1.0 million in marketing value during each year of the term of the Commercial Agreement across BuzzFeed’s digital properties at no cost to NBCU, its affiliates and joint ventures and their respective brands; (3) BuzzFeed provides licensed content to NBCU to be made available on an applicable NBCU entity streaming service under certain exclusivity terms during the remainder of the term of the Commercial Agreement; (4) NBCU is the exclusive sales representative for all BuzzFeed inventory, including HuffPost inventory, on Apple News and BuzzFeed endeavored to spend at least $1.0 million during the first year of the term of the Commercial Agreement to promote any of its commerce initiatives; and (5) BuzzFeed provides 200 million impressions per year of the term of the Commercial Agreement to drive traffic from the BuzzFeed platforms and third-party social media platforms to NBCU news properties. The Commercial Agreement will continue to be in effect until December 3, 2024 (i.e., for a period of three years), unless earlier terminated by either party in accordance with its terms and conditions, or until terminated by BuzzFeed after NBCU realizes $400.0 million or more in value for the NBCU Base Shares (as defined in the Escrow Agreement), which has yet to occur.</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entered into certain partnership agreements with NBCU in 2021, 2022, and 2023.</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revenue from NBCU of $3.2 million, $5.3 million and $2.9 million for the years ended December 31, 2023, 2022, and 2021, respectively. The Company recognized expenses under contractual obligations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NBCU of $nil, $0.7 million and $1.1 million for the years ended December 31, 2023, 2022 and 2021, respectively. The Company had outstanding receivable balances of $0.2 million and $2.2 million from NBCU as of December 31, 2023 and 2022, respectively. The Company had an outstanding payable balances of $0.2 million to NBCU as of December 31, 2023 (none as of December 31, 2022).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15, 2023, Verizon Ventures LLC (“Verizon”) converted all 6,478,031 shares of Class C common stock into Class A common stock, resulting in Verizon and its affiliates holding more than 5% of our Class A common stock. Verizon is the landlord for the Company’s corporate headquarters (for which the Company assumed responsibility as part of the Complex Networks Acquisition), and we transact with Verizon in the normal course of business, such as with agency advertising deals and for certain utilities. The Company recognized revenue from Verizon of $0.7 million for the year ended December 31, 2023 and $nil for both the years ended December 31, 2022 and 2021. The Company recognized expenses under contractual obligations from Verizon of $6.0 million, $5.8 million, and $0.5 million for the years ended December 31, 2023, 2022 and 2021, respectively. The Company had no outstanding receivables or payables from or to Verizon as of December 31, 2023 or 2022.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each of its directors and executive officers. These agreements require the Company to indemnify each such individual, against any and all expenses incurred by him or her because of his or her status as one of our directors or executive officers, to the fullest extent permitted by Delaware law, our second amended and restated certificate of incorporation, and our restated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19. Supplemental Cash Flow Information</w:t>
      </w:r>
    </w:p>
    <w:tbl>
      <w:tblPr>
        <w:tblW w:w="10137" w:type="dxa"/>
        <w:jc w:val="left"/>
        <w:tblInd w:w="0" w:type="dxa"/>
        <w:tblLayout w:type="fixed"/>
        <w:tblCellMar>
          <w:top w:w="28" w:type="dxa"/>
          <w:left w:w="28" w:type="dxa"/>
          <w:bottom w:w="28" w:type="dxa"/>
          <w:right w:w="28" w:type="dxa"/>
        </w:tblCellMar>
      </w:tblPr>
      <w:tblGrid>
        <w:gridCol w:w="2402"/>
        <w:gridCol w:w="2105"/>
        <w:gridCol w:w="2123"/>
        <w:gridCol w:w="211"/>
        <w:gridCol w:w="616"/>
        <w:gridCol w:w="109"/>
        <w:gridCol w:w="109"/>
        <w:gridCol w:w="109"/>
        <w:gridCol w:w="109"/>
        <w:gridCol w:w="211"/>
        <w:gridCol w:w="616"/>
        <w:gridCol w:w="109"/>
        <w:gridCol w:w="109"/>
        <w:gridCol w:w="109"/>
        <w:gridCol w:w="109"/>
        <w:gridCol w:w="211"/>
        <w:gridCol w:w="616"/>
        <w:gridCol w:w="154"/>
      </w:tblGrid>
      <w:tr>
        <w:trPr/>
        <w:tc>
          <w:tcPr>
            <w:tcW w:w="2402"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Cash paid for income taxes,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Cash paid for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231F20"/>
                <w:sz w:val="20"/>
              </w:rPr>
            </w:pPr>
            <w:r>
              <w:rPr>
                <w:rFonts w:ascii="Times New Roman;sans-serif" w:hAnsi="Times New Roman;sans-serif"/>
                <w:b/>
                <w:color w:val="231F20"/>
                <w:sz w:val="20"/>
              </w:rPr>
              <w:t>Non-cash investing and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Accounts payable and accrued expenses related to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Accrued deferred offering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Exchange of accounts receivable in exchange for investment in 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Issuance of common stock for HuffPost Acquisition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Issuance of common stock for Complex Networks Acquisition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Warrants assumed as part of the Business Combination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Accrued reverse recapitalization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 Other Expense, Net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consisted of the following for the years ended December 31, 2023, 2022, and 2021:</w:t>
      </w:r>
    </w:p>
    <w:p>
      <w:pPr>
        <w:pStyle w:val="TextBody"/>
        <w:bidi w:val="0"/>
        <w:spacing w:before="0" w:after="0"/>
        <w:ind w:left="0" w:right="0" w:firstLine="720"/>
        <w:jc w:val="left"/>
        <w:rPr/>
      </w:pPr>
      <w:r>
        <w:rPr/>
      </w:r>
    </w:p>
    <w:tbl>
      <w:tblPr>
        <w:tblW w:w="6657" w:type="dxa"/>
        <w:jc w:val="left"/>
        <w:tblInd w:w="0" w:type="dxa"/>
        <w:tblLayout w:type="fixed"/>
        <w:tblCellMar>
          <w:top w:w="28" w:type="dxa"/>
          <w:left w:w="28" w:type="dxa"/>
          <w:bottom w:w="28" w:type="dxa"/>
          <w:right w:w="28" w:type="dxa"/>
        </w:tblCellMar>
      </w:tblPr>
      <w:tblGrid>
        <w:gridCol w:w="1060"/>
        <w:gridCol w:w="929"/>
        <w:gridCol w:w="936"/>
        <w:gridCol w:w="211"/>
        <w:gridCol w:w="691"/>
        <w:gridCol w:w="109"/>
        <w:gridCol w:w="109"/>
        <w:gridCol w:w="109"/>
        <w:gridCol w:w="109"/>
        <w:gridCol w:w="211"/>
        <w:gridCol w:w="691"/>
        <w:gridCol w:w="109"/>
        <w:gridCol w:w="109"/>
        <w:gridCol w:w="109"/>
        <w:gridCol w:w="109"/>
        <w:gridCol w:w="211"/>
        <w:gridCol w:w="691"/>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gain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disposition of subsidiary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disposition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21. Impairment Expense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subleased its former corporate headquarters to a third party. The sublease commenced on August 26, 2022 and expires on May 30, 2026, unless terminated sooner in accordance with the provisions of the sublease. In connection with the sublease, the Company afforded the subtenant a four-month rent free period, which was the main driver in the cash outflows exceeding cash inflows over the life of the sublease. As such, the Company identified a triggering event for a potential impairment with respect to right-of-use assets and leasehold improvements associated with the subleased property. The Company determined the subleased property represented a separate asset class for the purposes of impairment testing and measurement, and the Company recorded a non-cash impairment charge of $2.2 million, with $1.4 million allocated to the right-of-use asset, and the remaining $0.8 million allocated to leasehold improvements. The fair values were determined based on estimated future discounted cash flows using market participant assumptions.</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Additionally, during the year ended December 31, 2022, the Company experienced a sustained decline in share price that pushed its market capitalization below its carrying value. The Company concluded the sustained decline in share price was a triggering event for potential impairment and conducted a quantitative impairment assessment. Based on the quantitative impairment assessment, the Company concluded the fair value of the single reporting unit was less than its carrying value and as such recorded a non-cash impairment charge of</w:t>
      </w:r>
      <w:r>
        <w:rPr>
          <w:color w:val="000000"/>
          <w:shd w:fill="FFFFFF" w:val="clear"/>
        </w:rPr>
        <w:t xml:space="preserve"> </w:t>
      </w:r>
      <w:r>
        <w:rPr>
          <w:rFonts w:ascii="Times New Roman;sans-serif" w:hAnsi="Times New Roman;sans-serif"/>
          <w:b w:val="false"/>
          <w:color w:val="000000"/>
          <w:sz w:val="20"/>
          <w:shd w:fill="FFFFFF" w:val="clear"/>
        </w:rPr>
        <w:t>$64.3 million</w:t>
      </w:r>
      <w:r>
        <w:rPr>
          <w:rFonts w:ascii="Times New Roman;sans-serif" w:hAnsi="Times New Roman;sans-serif"/>
          <w:b w:val="false"/>
          <w:color w:val="000000"/>
          <w:sz w:val="20"/>
        </w:rPr>
        <w:t xml:space="preserve">. The fair value of the single reporting was determined using an equal weighting of the adjusted market capitalization method (market approach) and the discounted cash flow method (income approach).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22. Held for Sale, Discontinued Operations, and Disposals</w:t>
      </w:r>
    </w:p>
    <w:p>
      <w:pPr>
        <w:pStyle w:val="TextBody"/>
        <w:bidi w:val="0"/>
        <w:spacing w:lineRule="auto" w:line="288" w:before="240" w:after="283"/>
        <w:jc w:val="both"/>
        <w:rPr/>
      </w:pPr>
      <w:r>
        <w:rPr>
          <w:rFonts w:ascii="Times New Roman;sans-serif" w:hAnsi="Times New Roman;sans-serif"/>
          <w:b/>
          <w:i/>
          <w:color w:val="000000"/>
          <w:sz w:val="20"/>
        </w:rPr>
        <w:t>Held for Sale and Discontinued Operations:</w:t>
      </w:r>
      <w:r>
        <w:rPr>
          <w:color w:val="000000"/>
        </w:rPr>
        <w:t xml:space="preserv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determined the assets of Complex Networks, excluding the First We Feast brand, met the criteria for classification as held for sale. Additionally, the Company concluded the ultimate disposal will represent a strategic shift that will have a major effect on the Company’s operations and financial results. Therefore, the historical results of Complex Networks, excluding the First We Feast brand, are classified as discontinued operations for all periods presented herein.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the Company completed the sale of certain assets relating to the business of Complex Networks (i.e., the Disposition) for approximately $108.6 million in cash. The Company disposed of Complex Networks in order to refocus its business around scalable, high-margin, and tech-led revenue streams. See Note 23 herein for further details about the Disposition.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net (loss) income from discontinued operations, net of taxes,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tbl>
      <w:tblPr>
        <w:tblW w:w="8951" w:type="dxa"/>
        <w:jc w:val="left"/>
        <w:tblInd w:w="0" w:type="dxa"/>
        <w:tblLayout w:type="fixed"/>
        <w:tblCellMar>
          <w:top w:w="28" w:type="dxa"/>
          <w:left w:w="28" w:type="dxa"/>
          <w:bottom w:w="28" w:type="dxa"/>
          <w:right w:w="28" w:type="dxa"/>
        </w:tblCellMar>
      </w:tblPr>
      <w:tblGrid>
        <w:gridCol w:w="1798"/>
        <w:gridCol w:w="1584"/>
        <w:gridCol w:w="1597"/>
        <w:gridCol w:w="211"/>
        <w:gridCol w:w="796"/>
        <w:gridCol w:w="109"/>
        <w:gridCol w:w="109"/>
        <w:gridCol w:w="109"/>
        <w:gridCol w:w="109"/>
        <w:gridCol w:w="211"/>
        <w:gridCol w:w="796"/>
        <w:gridCol w:w="109"/>
        <w:gridCol w:w="109"/>
        <w:gridCol w:w="109"/>
        <w:gridCol w:w="109"/>
        <w:gridCol w:w="211"/>
        <w:gridCol w:w="721"/>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Year Ended December 31, </w:t>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2021</w:t>
            </w:r>
            <w:r>
              <w:rPr>
                <w:rFonts w:ascii="Times New Roman;sans-serif" w:hAnsi="Times New Roman;sans-serif"/>
                <w:b/>
                <w:color w:val="000000"/>
                <w:sz w:val="10"/>
              </w:rPr>
              <w:t>1</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classification to held for sale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discontinued operations before income taxes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discontinued operations, net of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Company acquired Complex Networks on December 3, 2021, and therefore only approximately one month of activity is presented within loss from discontinued operations, net of tax for the year ended December 31, 2021.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Allocated general corporate overhead costs do not meet the criteria to be presented within net (loss) income from discontinued operations, net of tax, and were excluded from all figures presented in the table above. </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For the year ended December 31, 2023, there was no income tax provision / (benefit) in discontinued operations, as a result of the valuation allowance against net deferred tax assets that were not realizable on a more-likely-than-not basis.</w:t>
      </w:r>
      <w:r>
        <w:rPr>
          <w:color w:val="000000"/>
        </w:rPr>
        <w:t xml:space="preserve"> </w:t>
      </w:r>
      <w:r>
        <w:rPr>
          <w:rFonts w:ascii="Times New Roman;sans-serif" w:hAnsi="Times New Roman;sans-serif"/>
          <w:b w:val="false"/>
          <w:color w:val="000000"/>
          <w:sz w:val="20"/>
        </w:rPr>
        <w:t>For the year ended December 31, 2022 and 2021, the Company recorded an income tax benefit in discontinued operations as a result of the partial release of the Company’s U.S. valuation allowance, as the Business Combination, which was consummated during 2021, created a source of income of future taxable income.</w:t>
      </w:r>
      <w:r>
        <w:rPr>
          <w:color w:val="000000"/>
        </w:rPr>
        <w:t xml:space="preserv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Disposition, the Company was required to repay approximately $33.8 million outstanding under the Revolving Credit Facility and $30.9 million of the $150.0 million outstanding under the Notes (i.e., approximately 20.6%), leaving approximately $119.1 million aggregate principal amount of Notes outstanding as of March 7, 2024. All historical interest expense associated with the Revolving Credit Facility and 20.6% of the historical interest expense associated with the Notes were allocated to the discontinued operation. Refer to Note 23 herein for further details on this repayment.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the assets of discontinued operations are as follows:</w:t>
      </w:r>
    </w:p>
    <w:tbl>
      <w:tblPr>
        <w:tblW w:w="8678" w:type="dxa"/>
        <w:jc w:val="left"/>
        <w:tblInd w:w="0" w:type="dxa"/>
        <w:tblLayout w:type="fixed"/>
        <w:tblCellMar>
          <w:top w:w="28" w:type="dxa"/>
          <w:left w:w="28" w:type="dxa"/>
          <w:bottom w:w="28" w:type="dxa"/>
          <w:right w:w="28" w:type="dxa"/>
        </w:tblCellMar>
      </w:tblPr>
      <w:tblGrid>
        <w:gridCol w:w="2177"/>
        <w:gridCol w:w="1915"/>
        <w:gridCol w:w="1922"/>
        <w:gridCol w:w="211"/>
        <w:gridCol w:w="826"/>
        <w:gridCol w:w="109"/>
        <w:gridCol w:w="109"/>
        <w:gridCol w:w="109"/>
        <w:gridCol w:w="109"/>
        <w:gridCol w:w="211"/>
        <w:gridCol w:w="826"/>
        <w:gridCol w:w="154"/>
      </w:tblGrid>
      <w:tr>
        <w:trPr/>
        <w:tc>
          <w:tcPr>
            <w:tcW w:w="2177"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of discontinued operations, net of valuation allowance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 valuation allowance against the assets held for sale to reflect the write-down of the carrying value to fair value less estimated costs to sell. The non-cash valuation allowance of $9.5 million was recorded within loss from classification to held for sale in the summarized financial information of discontinued operations for the year ended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current assets, current liabilities, or noncurrent liabilities of discontinued operations for any periods presented as the disposal group consisted of intangible assets, net, and goodwill.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continuing involvement with Commerce Media through a transition services agreement, through which the Company and Commerce Media are to provide certain services to each other for a period of time following the Disposition (specifically, for an initial term of 180 days from February 21, 2024, with two additional consecutive terms of 90 days each, at Commerce Media’s discretion). Additionally, the Company and Commerce Media entered into a space sharing agreement whereby Commerce Media will license a portion of the Company’s corporate headquarters (see Note 23 herein for additional details). For the year ended December 31, 2023, we did not collect any cash related to these activities.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Dispositions of HuffPost Italy, HuffPost Korea and HuffPost France: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the Company disposed of its 51% ownership interests in HuffingtonPost Italia S.R.L (“HuffPost Italy”), HuffingtonPost Korea, Ltd. (“HuffPost Korea”), and Le HuffingtonPost SAS (“HuffPost France”) for nominal consideration and recognized losses on disposition of $1.2 million. HuffPost Italy, HuffPost Korea, and HuffPost France did not have a material impact on the Company’s net loss for the year ended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23. Subsequent Events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 of Complex Networks: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21, 2024, a wholly-owned subsidiary of the Company entered into the Complex Sale Agreement with Commerce Media, providing for the sale of certain assets relating to the business of Complex Networks (i.e., the Disposition). Pursuant to the Complex Sale Agreement, Commerce Media purchased certain assets, and assumed certain liabilities, related to the business of Complex Networks, excluding the business operating under the First We Feast brand and as otherwise set forth in the Agreement, for an aggregate purchase price of $108.6 million, which was paid in cash on February 21, 2024. In connection with the Disposition, the Company was required to repay (i) approximately $30.9 million to holders of the Notes and (ii) approximately $33.8 million outstanding under the Revolving Credit Facility, plus accrued and unpaid interest of $0.7 million (such amounts were repaid shortly after the Disposition). The Company terminated the Revolving Credit Facility, except for the $15.5 million in letters of credit outstanding, which were cash collateralized in the amount of $17.1 million. The Company incurred a $0.5 million early termination fee and a standby letter of credit fee of $0.5 million, both of which were paid upon closing of the Disposition on February 21, 2024.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 with the closing of the Disposition, the Company and Commerce Media entered into a Space Sharing Agreement whereby Commerce Media paid the Company a one-time license fee of approximately $2.8 million for use of the certain office space in our corporate headquarters from February 21, 2024 until on June 30, 2025 (or such earlier date that the underlying sublease or master lease earlier expires or is terminated). </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on February 28, 2024, the indenture governing the Notes was amended to, among other things, provide that 95% of the net proceeds of future asset sales must be used to repay the Notes. </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Restructuring: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2024, the Company announced plans to reduce expenses by implementing an approximately 16% reduction in the then-current workforce (after the Disposition). In doing so, the Company is reducing the size of its centralized operations to enable its individual brands to operate with more autonomy and deliver against their differentiated value propositions for advertisers. The reduction in workforce plan is intended to position the Company to be more agile, sustainable, and profitable. The Company expects to substantially complete the reduction in workforce plan by the end of the second quarter of 2024.</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Where required, worker adjustment and retraining notification (“WARN”) was given. In addition, all eligible employees were offered severance benefits in exchange for the execution of a separation and release agreement, subject to the WARN offset where applicable.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workforce reduction, senior executives subject to the Company’s Change in Control and Severance Plan were offered severance in accordance therewith, contingent on their execution of a separation and release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recognize restructuring charges in connection with the workforce reduction plan, including the cost of providing, where required, WARN notice, and severance, including outplacement services and benefits continuation. The Company estimates that the foregoing charges will range between $2.5 million to $4.0 million, and we expect the charges will be recognized primarily in the first quarter of 2024, with the majority of such charges anticipated to be paid by the end of the second quarter of 2024. The substantial majority of these charges will result in cash expenditures. Additionally, pursuant to the Complex Sale Agreement, Commerce Media reimbursed the Company for approximately $1.8 million in payments related to “Non-Transferring Employees” (as defined in the Complex Sale Agreement), including severance. The amount of these severance and related charges are not included within our expected restructuring charges noted above. The Company expects to treat the reimbursement as an expense reimbursement.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License of BuzzFeed, Tasty and HuffPost’s U.K.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28, 2024, BuzzFeed Media Enterprises, Inc., BuzzFeed UK Ltd., and TheHuffingtonPost.com, Inc., all of which are wholly-owned subsidiaries of the Company, entered into a license agreement and an ancillary asset purchase and employee transfer agreement and IT services agreement with Independent Digital News and Media Limited (“IDNM”). Under the license agreement, the above-referenced entities have granted IDNM a license to use the intellectual property, websites, social media accounts, and content of the BuzzFeed, Tasty and HuffPost brands in the U.K. The initial term is five years, unless earlier terminated pursuant to the terms of the license agreement. All employees who support the BuzzFeed, Tasty and HuffPost brands will be transferred to IDNM as of April 1, 2024. Pursuant to the license agreement, IDNM will pay an annual license fee of between £0.3 million and £0.5 million (or approximately between $0.3 million and $0.5 million as of March 27, 2024), plus a net revenue share of 25% if certain criteria are met, as set forth in the license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designed to ensure that information required to be disclosed by us in our reports under the Securities Exchange Act of 1934, as amended (the “Exchange Act”) is recorded, processed, summarized and reported within the time periods specified in the rules and forms of the U.S. Securities and Exchange Commission,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our disclosure controls and procedures (as defined in Rules 13a-15(e) and 15d-15(e) of the Exchange Act) as of the end of the period covered by this report. In making this evaluation, management considered the material weaknesses in our internal controls over financial reporting described below. Based upon that evaluation, our Chief Executive Officer and Chief Financial Officer concluded that, as of December 31, 2023, the period covered in this report, our disclosure controls and procedures were not effective.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assessment that our disclosure controls and procedures are not effective and that material weaknesses existed as of December 31, 2023, we believe that we have performed sufficient supplementary procedures to ensure that the consolidated financial statements contained in this filing fairly present, in all material respects, our financial position, results of operations and cash flows for all periods presented, in accordance with U.S. Generally Accepted Accounting Principles.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defined in Rules 13a-15(f) and 15d-15(f) of the Exchange Act). Our management is also required to assess and report on the effectiveness of our internal control over financial reporting in accordance with Section 404 of the Sarbanes-Oxley Act of 2002. Management assessed the effectiveness of our internal control over financial reporting as of December 31, 2023. In making this assessment, we used the criteria set forth by the Committee of Sponsoring Organizations of the Treadway Commission (i.e., COSO) in Internal Control - Integrated Framework. Based on that evaluation, our management concluded the Company’s internal control over financial reporting was not effective due to the material weaknesses described below. </w:t>
      </w:r>
    </w:p>
    <w:p>
      <w:pPr>
        <w:pStyle w:val="TextBody"/>
        <w:bidi w:val="0"/>
        <w:spacing w:lineRule="auto" w:line="288" w:before="240" w:after="283"/>
        <w:jc w:val="both"/>
        <w:rPr/>
      </w:pPr>
      <w:r>
        <w:rPr>
          <w:rFonts w:ascii="Times New Roman;sans-serif" w:hAnsi="Times New Roman;sans-serif"/>
          <w:b/>
          <w:i/>
          <w:color w:val="000000"/>
          <w:sz w:val="20"/>
        </w:rPr>
        <w:t>Previously Disclosed Material Weaknesses in Internal Control over Financial Reporting</w:t>
      </w:r>
      <w:r>
        <w:rPr>
          <w:rFonts w:ascii="Times New Roman;sans-serif" w:hAnsi="Times New Roman;sans-serif"/>
          <w:b w:val="false"/>
          <w:color w:val="000000"/>
          <w:sz w:val="20"/>
        </w:rPr>
        <w: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financial statements as of, and for the years ended, December 31, 2022 and 2021, we identified material weaknesses in our internal control over financial reporting, which remain unremediated as of, and for the year ended, December 31, 2023. The material weaknesses identified in our internal control over financial reporting related to: (i) a lack of formalized internal controls and segregation of duties surrounding our financial statement close process, and (ii) a lack of formalized information technology (“IT”) general controls in the area of change management and logical security controls over financial IT systems. The remediation of these deficiencies has required, and will continue to require, a significant amount of time and resources from management and other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Management’s Remediation Plan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 A Lack of Formalized Internal Controls and Segregation of Duties Surrounding our Financial Statement Close Process: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with the oversight of the audit committee of our board of directors, we began implementing remediation plans and enhanced controls within the financial statement close process, including documentation improvements for certain higher risk and material balance sheet reconciliation schedules and supporting financial calculations and analyses. However, certain business process controls were not designed, or did not operate at the appropriate level of precision, to prevent or detect a material misstatement, and conflicts with respect to segregation of duties were identified across our end-to-end financial statement close process. Our management will continue to implement remediation plans to define control procedures, enhance documentation, and enforce segregation of duties to ensure controls are adequately designed and operate sufficiently including, but not limited to: enhancing certain higher risk balance sheet reconciliation schedules, completeness and accuracy, and related review procedures; enhancing review procedures with respect to financial results and supporting financial calculations; designing processes and controls to adequately segregate job responsibilities; redesigning workflow approval routing and security permissions; and reducing reliance on manual controls.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 A Lack of Formalized Information Technology General Controls in the Area of Change Management and Logical Security Controls Over Financial Information Technology Systems: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our management began implementing remediation plans to address certain control deficiencies around system development and change management and IT security, including formalizing the processes and controls around security administration and implementing user access reviews for certain key financial systems. However, we did not have sufficient resources with technical expertise to centralize certain IT functions and to provide adequate IT oversight over financial systems.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intends to revisit its IT sustainment plan to further support and provide appropriate oversight over key financial systems, and intends to implement remediation plans, including, but not limited to: centralizing the change management and security administration function; implementing policies and procedures with respect to change management, system development, and application-level security; documenting test procedures and approvals relating to changes made to production; maintaining separate development, test, and production environments; formalizing controls around security administration; and implementing real-time monitoring.</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Remediation of Previously Reported Material Weakness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financial statements as of, and for the years ended, December 31, 2022 and 2021, we previously identified a material weakness in our internal control over financial reporting, which related to ineffective upstream processes for gathering critical data to support a formalized assessment and review of certain technical accounting matters. As of December 31, 2023, our management completed the following actions designed to remediate the material weakness evidenced by: enhanced collaboration, awareness and communication across departments to help identify and report significant, complex and contracts containing non-standard terms; recurring end-user training to reinforce timely communication and reporting of certain contracts; enhanced documentation to demonstrate management’s revenue recognition assessments and conclusions; and more robust review controls to ensure proper revenue recognition.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above actions taken to strengthen our internal control over financial reporting as it relates to the communication of critical data and documentation of technical accounting assessments, and in conjunction with the results of our testing over the design and operating effectiveness of the relevant controls, management has deemed the previously identified material weaknesses as remediated.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remediation of the material weakness and ongoing remediation efforts described above, there were no changes in our internal control over financial reporting (as such term is defined in Rules 13a-15(f) and 15d-15(f) of the Exchange Act) during the year ended December 31, 2023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Inherent Limitations on the Effectiveness of Controls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our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color w:val="000000"/>
          <w:sz w:val="20"/>
        </w:rPr>
        <w:t>License of BuzzFeed, Tasty and HuffPost’s U.K.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elects to disclose under this Item 9B information otherwise disclosable in a report on Form 8-K.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28, 2024, BuzzFeed Media Enterprises, Inc., BuzzFeed UK Ltd., and TheHuffingtonPost.com, Inc., all of which are our wholly-owned subsidiaries, entered into a license agreement and an ancillary asset purchase and employee transfer agreement and IT services agreement with Independent Digital News and Media Limited (“IDNM”). Under the license agreement, the above-referenced entities have granted IDNM a license to use the intellectual property, websites, social media accounts, and content of the BuzzFeed, Tasty and HuffPost brands in the U.K. The initial term is five years, unless earlier terminated pursuant to the terms of the license agreement. All employees who support the BuzzFeed, Tasty and HuffPost brands will be transferred to IDNM as of April 1, 2024. Pursuant to the license agreement, IDNM will pay an annual license fee of between £0.3 million and £0.5 million (or approximately between $0.3 million and $0.5 million as of March 27, 2024), plus a net revenue share of 25% if certain criteria are met, as set forth in the license agreement. A copy of the license agreement is attached as Exhibit 10.24 to this Form 10-K and is incorporated herein by reference, and the description of the license agreement is qualified in its entirety by reference thereto.</w:t>
      </w:r>
    </w:p>
    <w:p>
      <w:pPr>
        <w:pStyle w:val="TextBody"/>
        <w:bidi w:val="0"/>
        <w:spacing w:lineRule="auto" w:line="288" w:before="240" w:after="283"/>
        <w:ind w:left="0" w:right="0" w:firstLine="36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color w:val="000000"/>
          <w:sz w:val="20"/>
        </w:rPr>
        <w:t>Rule 10b5-1 Trading Plans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none of our directors or officers (as defined in Rule 16a-1(f) of the Exchange Act) adopted or terminated, including by modification, a “Rule 10b5-1 trading arrangement” or a “non-Rule 10b5-1 trading arrangement,” as each term is defined in Item 408(a)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sections of our definitive Proxy Statement for our 2024 Annual Meeting of Stockholders entitled “Proposal No. 1 Election of Directors,” “Board Of Directors and Committees of the Board of Directors; Corporate Governance Standards and Director Independence—Committees of Our Board of Directors,” “Executive Officers,” “Board Of Directors and Committees of the Board of Directors; Corporate Governance Standards and Director Independence—Code of Conduct,” “Board Of Directors and Committees of the Board of Directors; Corporate Governance Standards and Director Independence—Insider Trading Arrangement and Policies,” and, if applicable, “Additional Information—Delinquent Section 16(a) Reports” to be filed with the SEC by April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the sections of our definitive Proxy Statement for our 2024 Annual Meeting of Stockholders entitled “Executive Compensation”, “Non-Employee Director Equity Compensation” and “Non-Employee Director Compensation” to be filed with the SEC by April 29,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the sections of our definitive Proxy Statement for our 2024 Annual Meeting of Stockholders entitled “Security Ownership of Beneficial Ownership and Management,” and “Equity Compensation Plan Information,” to be filed with the SEC by April 29,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the sections of our definitive Proxy Statement for our 2024 Annual Meeting of Stockholders entitled “Board Of Directors and Committees of the Board of Directors; Corporate Governance Standards and Director Independence” and “Certain Relationships and Related Person Transactions” to be filed with the SEC by April 29,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sections of our definitive Proxy Statement for our 2024 Annual Meeting of Stockholders entitled “Independent Registered Public Accounting Firm Fees and Services” to be filed with the SEC by April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(a)(1) Consolidated Financial Statements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included in Part II, Item 8, “Financial Statements and Supplementary Data”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are omitted because the information called for is not required or is shown either in the consolidated financial statements or the notes thereto.</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(a)(3) Exhibits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exhibits filed as part of this Annual Report on Form 10-K.</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50"/>
        <w:gridCol w:w="1950"/>
        <w:gridCol w:w="1970"/>
        <w:gridCol w:w="109"/>
        <w:gridCol w:w="109"/>
        <w:gridCol w:w="109"/>
        <w:gridCol w:w="195"/>
        <w:gridCol w:w="195"/>
        <w:gridCol w:w="196"/>
        <w:gridCol w:w="123"/>
        <w:gridCol w:w="123"/>
        <w:gridCol w:w="123"/>
        <w:gridCol w:w="245"/>
        <w:gridCol w:w="245"/>
        <w:gridCol w:w="246"/>
        <w:gridCol w:w="123"/>
        <w:gridCol w:w="123"/>
        <w:gridCol w:w="123"/>
        <w:gridCol w:w="234"/>
        <w:gridCol w:w="234"/>
        <w:gridCol w:w="34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80"/>
                  <w:sz w:val="20"/>
                  <w:u w:val="single"/>
                </w:rPr>
                <w:t>At The Market Offering Agreement, dated as of June 20, 2023, by and between BuzzFeed, Inc. and Craig-Hallum Capital Group LLC</w:t>
              </w:r>
            </w:hyperlink>
            <w:hyperlink r:id="rId4">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6/20/2023</w:t>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Agreement and Plan of Merger, dated as of June 24, 2021, by and among 890 5th Avenue Partners, Inc., Bolt Merger Sub I, Inc., Bolt Merger Sub II, Inc., and BuzzFeed,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6/24/2021</w:t>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"https://www.sec.gov/Archives/edgar/data/1828972/000110465921136139/tm2122219-17_s4a.htm" \l "tANNA1"</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Amendment No. 1 to Agreement and Plan of Merger, dated as of October 28, 2021, by and among 890 5th Avenue Partners, Inc., Bolt Merger Sub I, Inc., Bolt Merger Sub II, Inc., and BuzzFeed, Inc.</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10/29/2021</w:t>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Membership Interest Purchase Agreement, dated as of March 27, 2021, by and among BuzzFeed, Inc., CM Partners, LLC, Complex Media, Inc., Verizon CMP Holdings LLC and HDS II,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76" w:before="0" w:after="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36"/>
        <w:gridCol w:w="208"/>
        <w:gridCol w:w="212"/>
        <w:gridCol w:w="109"/>
        <w:gridCol w:w="109"/>
        <w:gridCol w:w="109"/>
        <w:gridCol w:w="2265"/>
        <w:gridCol w:w="2143"/>
        <w:gridCol w:w="2148"/>
        <w:gridCol w:w="109"/>
        <w:gridCol w:w="109"/>
        <w:gridCol w:w="109"/>
        <w:gridCol w:w="149"/>
        <w:gridCol w:w="147"/>
        <w:gridCol w:w="130"/>
        <w:gridCol w:w="109"/>
        <w:gridCol w:w="109"/>
        <w:gridCol w:w="109"/>
        <w:gridCol w:w="188"/>
        <w:gridCol w:w="188"/>
        <w:gridCol w:w="195"/>
        <w:gridCol w:w="109"/>
        <w:gridCol w:w="109"/>
        <w:gridCol w:w="109"/>
        <w:gridCol w:w="200"/>
        <w:gridCol w:w="200"/>
        <w:gridCol w:w="288"/>
      </w:tblGrid>
      <w:tr>
        <w:trPr/>
        <w:tc>
          <w:tcPr>
            <w:tcW w:w="2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Amendment No. 1 to the Membership Interest Purchase Agreement, dated as of June 24, 2021, by and among BuzzFeed, Inc., CM Partners, LLC, Complex Media, Inc., Verizon CMP Holdings LLC and HDS II,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0"/>
                  <w:u w:val="single"/>
                </w:rPr>
                <w:t>Asset Purchase Agreement, dated as of February 21, 2024, by and between BuzzFeed Media Enterprises, Inc. and Commerce Media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2/21/2024</w:t>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20"/>
                  <w:u w:val="single"/>
                </w:rPr>
                <w:t>Second Amended and Restated Certificate of Incorporation of BuzzFeed,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FF"/>
                  <w:sz w:val="20"/>
                  <w:u w:val="single"/>
                </w:rPr>
                <w:t>Certificate of Change of Registered Agent and/or Registered Office, dated as of March 13,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3/15/2023</w:t>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80"/>
                  <w:sz w:val="20"/>
                  <w:u w:val="single"/>
                </w:rPr>
                <w:t xml:space="preserve">Certificate of Amendment of Second Amended and Restated Certificate of Incorporation of BuzzFeed, Inc. </w:t>
              </w:r>
            </w:hyperlink>
            <w:hyperlink r:id="rId12">
              <w:r>
                <w:rPr>
                  <w:rStyle w:val="InternetLink"/>
                  <w:rFonts w:ascii="Times New Roman;sans-serif" w:hAnsi="Times New Roman;sans-serif"/>
                  <w:b w:val="false"/>
                  <w:color w:val="000080"/>
                  <w:sz w:val="20"/>
                  <w:u w:val="single"/>
                </w:rPr>
                <w:t>f</w:t>
              </w:r>
            </w:hyperlink>
            <w:hyperlink r:id="rId13">
              <w:r>
                <w:rPr>
                  <w:rStyle w:val="InternetLink"/>
                  <w:rFonts w:ascii="Times New Roman;sans-serif" w:hAnsi="Times New Roman;sans-serif"/>
                  <w:b w:val="false"/>
                  <w:color w:val="000080"/>
                  <w:sz w:val="20"/>
                  <w:u w:val="single"/>
                </w:rPr>
                <w:t>iled on June 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8/9/2023</w:t>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20"/>
                  <w:u w:val="single"/>
                </w:rPr>
                <w:t>Restated Bylaws of BuzzFeed,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20"/>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20"/>
                  <w:u w:val="single"/>
                </w:rPr>
                <w:t>Specimen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20"/>
                  <w:u w:val="single"/>
                </w:rPr>
                <w:t>Specimen Warrant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Indenture, dated December 3, 2021, by and between BuzzFeed, Inc. and Wilmington Savings Fund Society, a federal savings bank,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80"/>
                  <w:sz w:val="20"/>
                  <w:u w:val="single"/>
                </w:rPr>
                <w:t>Form of Global Note (included in Exhibit 4.3</w:t>
              </w:r>
            </w:hyperlink>
            <w:hyperlink r:id="rId20">
              <w:r>
                <w:rPr>
                  <w:rStyle w:val="InternetLink"/>
                  <w:rFonts w:ascii="Times New Roman;sans-serif" w:hAnsi="Times New Roman;sans-serif"/>
                  <w:b w:val="false"/>
                  <w:color w:val="000080"/>
                  <w:sz w:val="20"/>
                  <w:u w:val="single"/>
                </w:rPr>
                <w:t>.1</w:t>
              </w:r>
            </w:hyperlink>
            <w:hyperlink r:id="rId21">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80"/>
                  <w:sz w:val="20"/>
                  <w:u w:val="single"/>
                </w:rPr>
                <w:t>First Supplemental Indenture, dated as of July 10, 2023, to the Indenture, dated December 3, 2021</w:t>
              </w:r>
            </w:hyperlink>
            <w:hyperlink r:id="rId23">
              <w:r>
                <w:rPr>
                  <w:rStyle w:val="InternetLink"/>
                  <w:rFonts w:ascii="Times New Roman;sans-serif" w:hAnsi="Times New Roman;sans-serif"/>
                  <w:b w:val="false"/>
                  <w:color w:val="000080"/>
                  <w:sz w:val="20"/>
                  <w:u w:val="single"/>
                </w:rPr>
                <w:t>,</w:t>
              </w:r>
            </w:hyperlink>
            <w:hyperlink r:id="rId24">
              <w:r>
                <w:rPr>
                  <w:rStyle w:val="InternetLink"/>
                  <w:rFonts w:ascii="Times New Roman;sans-serif" w:hAnsi="Times New Roman;sans-serif"/>
                  <w:b w:val="false"/>
                  <w:color w:val="000080"/>
                  <w:sz w:val="20"/>
                  <w:u w:val="single"/>
                </w:rPr>
                <w:t xml:space="preserve"> between BuzzFeed, Inc., BuzzFeed Canada, Inc., and Wilmington Savings Fund Society, a Federal Savings Bank,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8/9/2023</w:t>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FF"/>
                  <w:sz w:val="20"/>
                  <w:u w:val="single"/>
                </w:rPr>
                <w:t>Second Supplemental Indenture, dated as of February 28, 2024,to the Indenture dated December 3, 2021 among BuzzFeed, Inc. and Wilmington Savings Fund Society, a Federal Savings Bank,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2/29/2024</w:t>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20"/>
                  <w:u w:val="single"/>
                </w:rPr>
                <w:t>Lease, dated December 16, 2014, by and between BuzzFeed, Inc. and 225 Fourth,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ans-serif" w:hAnsi="Times New Roman;sans-serif"/>
                  <w:b w:val="false"/>
                  <w:color w:val="0000FF"/>
                  <w:sz w:val="20"/>
                  <w:u w:val="single"/>
                </w:rPr>
                <w:t>Warrant Agreement, dated January 11, 2021, by and between BuzzFeed, Inc. (f//k/a 890 5th Avenue Partners, Inc.) and Continental Stock Transfer &amp;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"https://www.sec.gov/Archives/edgar/data/1828972/000110465921098380/tm2122219-1_s4.htm" \l "tANND"</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Form of Note Subscription Agreement, dated June 24, 2021, by and between 890 5th Avenue Partners, Inc., and the undersigned subscribers party thereto.</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20"/>
                  <w:u w:val="single"/>
                </w:rPr>
                <w:t>Voting Agreement, dated as June 24, 2021, by and among BuzzFeed, Inc. (f/k/a 890 5th Avenue Partners, Inc.), 200 Park Avenue Partners, LLC, as the Sponsor, and Jonah Peretti and each of his permitted transferees pursuant to Section 10.2 of the Voting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20"/>
                  <w:u w:val="single"/>
                </w:rPr>
                <w:t>Holder Voting Agreement, dated July 21, 2021, by and among BuzzFeed, Inc., Jonah Peretti, John Johnson III, and Johnson BF,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80"/>
                  <w:sz w:val="20"/>
                  <w:u w:val="single"/>
                </w:rPr>
                <w:t xml:space="preserve">Amended and Restated Registration Rights Agreement, dated as of </w:t>
              </w:r>
            </w:hyperlink>
            <w:hyperlink r:id="rId31">
              <w:r>
                <w:rPr>
                  <w:rStyle w:val="InternetLink"/>
                  <w:rFonts w:ascii="Times New Roman;sans-serif" w:hAnsi="Times New Roman;sans-serif"/>
                  <w:b w:val="false"/>
                  <w:color w:val="000080"/>
                  <w:sz w:val="20"/>
                  <w:u w:val="single"/>
                </w:rPr>
                <w:t>December</w:t>
              </w:r>
            </w:hyperlink>
            <w:hyperlink r:id="rId32">
              <w:r>
                <w:rPr>
                  <w:rStyle w:val="InternetLink"/>
                  <w:rFonts w:ascii="Times New Roman;sans-serif" w:hAnsi="Times New Roman;sans-serif"/>
                  <w:b w:val="false"/>
                  <w:color w:val="000080"/>
                  <w:sz w:val="20"/>
                  <w:u w:val="single"/>
                </w:rPr>
                <w:t xml:space="preserve"> </w:t>
              </w:r>
            </w:hyperlink>
            <w:hyperlink r:id="rId33">
              <w:r>
                <w:rPr>
                  <w:rStyle w:val="InternetLink"/>
                  <w:rFonts w:ascii="Times New Roman;sans-serif" w:hAnsi="Times New Roman;sans-serif"/>
                  <w:b w:val="false"/>
                  <w:color w:val="000080"/>
                  <w:sz w:val="20"/>
                  <w:u w:val="single"/>
                </w:rPr>
                <w:t>3</w:t>
              </w:r>
            </w:hyperlink>
            <w:hyperlink r:id="rId34">
              <w:r>
                <w:rPr>
                  <w:rStyle w:val="InternetLink"/>
                  <w:rFonts w:ascii="Times New Roman;sans-serif" w:hAnsi="Times New Roman;sans-serif"/>
                  <w:b w:val="false"/>
                  <w:color w:val="000080"/>
                  <w:sz w:val="20"/>
                  <w:u w:val="single"/>
                </w:rPr>
                <w:t>, 2021, by and among BuzzFeed, Inc. (f/k/a 890 5th Avenue Partners, Inc.) and the other parties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ans-serif" w:hAnsi="Times New Roman;sans-serif"/>
                  <w:b w:val="false"/>
                  <w:color w:val="0000FF"/>
                  <w:sz w:val="20"/>
                  <w:u w:val="single"/>
                </w:rPr>
                <w:t>Registration Rights Agreement, dated December 3, 2021, by and among BuzzFeed, Inc. and the convertible noteholders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ans-serif" w:hAnsi="Times New Roman;sans-serif"/>
                  <w:b w:val="false"/>
                  <w:color w:val="0000FF"/>
                  <w:sz w:val="20"/>
                  <w:u w:val="single"/>
                </w:rPr>
                <w:t>Amended and Restated Escrow Agreement, dated December 3, 2021, by and among NBCUniversal Media, LLC, Jonah Peretti, Jonah Peretti LLC and PNC Bank, National Association, as escrow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ans-serif" w:hAnsi="Times New Roman;sans-serif"/>
                  <w:b w:val="false"/>
                  <w:color w:val="0000FF"/>
                  <w:sz w:val="20"/>
                  <w:u w:val="single"/>
                </w:rPr>
                <w:t>Amended and Restated Loan and Security Agreement, dated December 3, 2021, by and among BuzzFeed, Inc., the borrowers thereto, the guarantors thereto and White Oak Commercial Finance,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76" w:before="0" w:after="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74"/>
        <w:gridCol w:w="242"/>
        <w:gridCol w:w="245"/>
        <w:gridCol w:w="109"/>
        <w:gridCol w:w="109"/>
        <w:gridCol w:w="109"/>
        <w:gridCol w:w="2271"/>
        <w:gridCol w:w="2072"/>
        <w:gridCol w:w="2078"/>
        <w:gridCol w:w="109"/>
        <w:gridCol w:w="109"/>
        <w:gridCol w:w="109"/>
        <w:gridCol w:w="149"/>
        <w:gridCol w:w="147"/>
        <w:gridCol w:w="130"/>
        <w:gridCol w:w="109"/>
        <w:gridCol w:w="109"/>
        <w:gridCol w:w="109"/>
        <w:gridCol w:w="189"/>
        <w:gridCol w:w="189"/>
        <w:gridCol w:w="193"/>
        <w:gridCol w:w="109"/>
        <w:gridCol w:w="109"/>
        <w:gridCol w:w="109"/>
        <w:gridCol w:w="208"/>
        <w:gridCol w:w="208"/>
        <w:gridCol w:w="302"/>
      </w:tblGrid>
      <w:tr>
        <w:trPr/>
        <w:tc>
          <w:tcPr>
            <w:tcW w:w="2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ans-serif" w:hAnsi="Times New Roman;sans-serif"/>
                  <w:b w:val="false"/>
                  <w:color w:val="0000FF"/>
                  <w:sz w:val="20"/>
                  <w:u w:val="single"/>
                </w:rPr>
                <w:t>First Amendment, dated December 15, 2022, to the Amended and Restated Loan and Security Agreement, dated December 3, 2021, by and among BuzzFeed, Inc., the borrowers thereto, the guarantors thereto and White Oak Commercial Finance,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12/15/2022</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ans-serif" w:hAnsi="Times New Roman;sans-serif"/>
                  <w:b w:val="false"/>
                  <w:color w:val="0000FF"/>
                  <w:sz w:val="20"/>
                  <w:u w:val="single"/>
                </w:rPr>
                <w:t>Joinder Agreement, dated May 10, 2023, to the Amended and Restated Loan and Security Agreement, dated December 3, 2021, by and among BuzzFeed, Inc., the borrowers thereto, the guarantors thereto and White Oak Commercial Finance,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5/10/2023</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ans-serif" w:hAnsi="Times New Roman;sans-serif"/>
                  <w:b w:val="false"/>
                  <w:color w:val="0000FF"/>
                  <w:sz w:val="20"/>
                  <w:u w:val="single"/>
                </w:rPr>
                <w:t>Second Amendment, dated June 29, 2023, to the Amended and Restated Loan and Security Agreement, dated December 3, 2021, by and among BuzzFeed, Inc., the borrowers thereto, the guarantors thereto and White Oak Commercial Finance,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6/30/2023</w:t>
            </w:r>
          </w:p>
        </w:tc>
      </w:tr>
      <w:tr>
        <w:trPr/>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ans-serif" w:hAnsi="Times New Roman;sans-serif"/>
                  <w:b w:val="false"/>
                  <w:color w:val="000080"/>
                  <w:sz w:val="20"/>
                  <w:u w:val="single"/>
                </w:rPr>
                <w:t>Third Amendment, dated September 26, 2023, to the Amended and Restated Loan and Security Agreement, dated December 3, 2021, by and among BuzzFeed, Inc., the borrowers thereto, the guarantors thereto and White Oak Commercial Finance, LLC</w:t>
              </w:r>
            </w:hyperlink>
            <w:hyperlink r:id="rId42">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9/29/2023</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ans-serif" w:hAnsi="Times New Roman;sans-serif"/>
                  <w:b w:val="false"/>
                  <w:color w:val="0000FF"/>
                  <w:sz w:val="20"/>
                  <w:u w:val="single"/>
                </w:rPr>
                <w:t>Sublease, dated July 8, 2022, by and between BuzzFeed Media Enterprises, Inc. and Monday.com,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8/16/2022</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ans-serif" w:hAnsi="Times New Roman;sans-serif"/>
                  <w:b w:val="false"/>
                  <w:color w:val="0000FF"/>
                  <w:sz w:val="20"/>
                  <w:u w:val="single"/>
                </w:rPr>
                <w:t>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2/8/2022</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ans-serif" w:hAnsi="Times New Roman;sans-serif"/>
                  <w:b w:val="false"/>
                  <w:color w:val="0000FF"/>
                  <w:sz w:val="20"/>
                  <w:u w:val="single"/>
                </w:rPr>
                <w:t>Form of Stock Option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ans-serif" w:hAnsi="Times New Roman;sans-serif"/>
                  <w:b w:val="false"/>
                  <w:color w:val="0000FF"/>
                  <w:sz w:val="20"/>
                  <w:u w:val="single"/>
                </w:rPr>
                <w:t>Form of RSU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ans-serif" w:hAnsi="Times New Roman;sans-serif"/>
                  <w:b w:val="false"/>
                  <w:color w:val="0000FF"/>
                  <w:sz w:val="20"/>
                  <w:u w:val="single"/>
                </w:rPr>
                <w:t>Form of Stock Option Substitution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ans-serif" w:hAnsi="Times New Roman;sans-serif"/>
                  <w:b w:val="false"/>
                  <w:color w:val="0000FF"/>
                  <w:sz w:val="20"/>
                  <w:u w:val="single"/>
                </w:rPr>
                <w:t>Form of RSU Substitution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ans-serif" w:hAnsi="Times New Roman;sans-serif"/>
                  <w:b w:val="false"/>
                  <w:color w:val="0000FF"/>
                  <w:sz w:val="20"/>
                  <w:u w:val="single"/>
                </w:rPr>
                <w:t>Form of Restricted Stock Award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ans-serif" w:hAnsi="Times New Roman;sans-serif"/>
                  <w:b w:val="false"/>
                  <w:color w:val="0000FF"/>
                  <w:sz w:val="20"/>
                  <w:u w:val="single"/>
                </w:rPr>
                <w:t>2021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ans-serif" w:hAnsi="Times New Roman;sans-serif"/>
                  <w:b w:val="false"/>
                  <w:color w:val="0000FF"/>
                  <w:sz w:val="20"/>
                  <w:u w:val="single"/>
                </w:rPr>
                <w:t>Form of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12/9/2021</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ans-serif" w:hAnsi="Times New Roman;sans-serif"/>
                  <w:b w:val="false"/>
                  <w:color w:val="0000FF"/>
                  <w:sz w:val="20"/>
                  <w:u w:val="single"/>
                </w:rPr>
                <w:t>Offer Letter, dated September 14, 2015, by and between BuzzFeed, Inc. and Felicia DellaFortuna.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1/11/2022</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51davidarroyo_of.htm">
              <w:r>
                <w:rPr>
                  <w:rStyle w:val="InternetLink"/>
                  <w:rFonts w:ascii="Times New Roman;sans-serif" w:hAnsi="Times New Roman;sans-serif"/>
                  <w:b w:val="false"/>
                  <w:color w:val="0000FF"/>
                  <w:sz w:val="20"/>
                  <w:u w:val="single"/>
                </w:rPr>
                <w:t>Offer Letter, dated as of July 8, 2019, between BuzzFeed, Inc. and David Arroyo.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52davidarroyopro.htm">
              <w:r>
                <w:rPr>
                  <w:rStyle w:val="InternetLink"/>
                  <w:rFonts w:ascii="Times New Roman;sans-serif" w:hAnsi="Times New Roman;sans-serif"/>
                  <w:b w:val="false"/>
                  <w:color w:val="0000FF"/>
                  <w:sz w:val="20"/>
                  <w:u w:val="single"/>
                </w:rPr>
                <w:t xml:space="preserve">Promotion Letter, dated as of November 9, 2022, between BuzzFeed, Inc. and David Arroyo.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61matthewomer_of.htm">
              <w:r>
                <w:rPr>
                  <w:rStyle w:val="InternetLink"/>
                  <w:rFonts w:ascii="Times New Roman;sans-serif" w:hAnsi="Times New Roman;sans-serif"/>
                  <w:b w:val="false"/>
                  <w:color w:val="0000FF"/>
                  <w:sz w:val="20"/>
                  <w:u w:val="single"/>
                </w:rPr>
                <w:t>Offer Letter, dated as of September 24, 2019, between BuzzFeed, Inc. and Matthew Omer.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62mattomerpromot.htm">
              <w:r>
                <w:rPr>
                  <w:rStyle w:val="InternetLink"/>
                  <w:rFonts w:ascii="Times New Roman;sans-serif" w:hAnsi="Times New Roman;sans-serif"/>
                  <w:b w:val="false"/>
                  <w:color w:val="0000FF"/>
                  <w:sz w:val="20"/>
                  <w:u w:val="single"/>
                </w:rPr>
                <w:t>Promotion Letter, dated as of October 23, 2023, between BuzzFeed, Inc. and Matthew Omer.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ans-serif" w:hAnsi="Times New Roman;sans-serif"/>
                  <w:b w:val="false"/>
                  <w:color w:val="0000FF"/>
                  <w:sz w:val="20"/>
                  <w:u w:val="single"/>
                </w:rPr>
                <w:t>Offer Letter, dated as of June 22, 2021, between BuzzFeed, Inc. and Christian Baesler.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3/16/2023</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ans-serif" w:hAnsi="Times New Roman;sans-serif"/>
                  <w:b w:val="false"/>
                  <w:color w:val="0000FF"/>
                  <w:sz w:val="20"/>
                  <w:u w:val="single"/>
                </w:rPr>
                <w:t>Offer Letter, dated as of March 25, 2022, between Buzzfeed, Inc. and Marcela Martin.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5/6/2022</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ans-serif" w:hAnsi="Times New Roman;sans-serif"/>
                  <w:b w:val="false"/>
                  <w:color w:val="0000FF"/>
                  <w:sz w:val="20"/>
                  <w:u w:val="single"/>
                </w:rPr>
                <w:t>Amendment to Offer Letter, dated as of August 4, 2022, between Buzzfeed, Inc. and Marcela Martin.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8/9/2022</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ans-serif" w:hAnsi="Times New Roman;sans-serif"/>
                  <w:b w:val="false"/>
                  <w:color w:val="000080"/>
                  <w:sz w:val="20"/>
                  <w:u w:val="single"/>
                </w:rPr>
                <w:t>Change in Control and Severance Plan</w:t>
              </w:r>
            </w:hyperlink>
            <w:hyperlink r:id="rId57">
              <w:r>
                <w:rPr>
                  <w:rStyle w:val="InternetLink"/>
                  <w:rFonts w:ascii="Times New Roman;sans-serif" w:hAnsi="Times New Roman;sans-serif"/>
                  <w:b w:val="false"/>
                  <w:color w:val="000080"/>
                  <w:sz w:val="20"/>
                  <w:u w:val="single"/>
                </w:rPr>
                <w:t xml:space="preserve"> (adopted </w:t>
              </w:r>
            </w:hyperlink>
            <w:hyperlink r:id="rId58">
              <w:r>
                <w:rPr>
                  <w:rStyle w:val="InternetLink"/>
                  <w:rFonts w:ascii="Times New Roman;sans-serif" w:hAnsi="Times New Roman;sans-serif"/>
                  <w:b w:val="false"/>
                  <w:color w:val="000080"/>
                  <w:sz w:val="20"/>
                  <w:u w:val="single"/>
                </w:rPr>
                <w:t>February 4, 2022</w:t>
              </w:r>
            </w:hyperlink>
            <w:hyperlink r:id="rId59">
              <w:r>
                <w:rPr>
                  <w:rStyle w:val="InternetLink"/>
                  <w:rFonts w:ascii="Times New Roman;sans-serif" w:hAnsi="Times New Roman;sans-serif"/>
                  <w:b w:val="false"/>
                  <w:color w:val="000080"/>
                  <w:sz w:val="20"/>
                  <w:u w:val="single"/>
                </w:rPr>
                <w:t>)</w:t>
              </w:r>
            </w:hyperlink>
            <w:hyperlink r:id="rId60">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2/4/2022</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ans-serif" w:hAnsi="Times New Roman;sans-serif"/>
                  <w:b w:val="false"/>
                  <w:color w:val="0000FF"/>
                  <w:sz w:val="20"/>
                  <w:u w:val="single"/>
                </w:rPr>
                <w:t>Joan Amble Advisor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5/10/2023</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Times New Roman;sans-serif" w:hAnsi="Times New Roman;sans-serif"/>
                  <w:b w:val="false"/>
                  <w:color w:val="0000FF"/>
                  <w:sz w:val="20"/>
                  <w:u w:val="single"/>
                </w:rPr>
                <w:t>Greg Coleman Advisor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5/10/2023</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ans-serif" w:hAnsi="Times New Roman;sans-serif"/>
                  <w:b w:val="false"/>
                  <w:color w:val="000080"/>
                  <w:sz w:val="20"/>
                  <w:u w:val="single"/>
                </w:rPr>
                <w:t>BuzzFeed, Inc. Non-Employee Directors Compensation Policy (</w:t>
              </w:r>
            </w:hyperlink>
            <w:hyperlink r:id="rId64">
              <w:r>
                <w:rPr>
                  <w:rStyle w:val="InternetLink"/>
                  <w:rFonts w:ascii="Times New Roman;sans-serif" w:hAnsi="Times New Roman;sans-serif"/>
                  <w:b w:val="false"/>
                  <w:color w:val="000080"/>
                  <w:sz w:val="20"/>
                  <w:u w:val="single"/>
                </w:rPr>
                <w:t>a</w:t>
              </w:r>
            </w:hyperlink>
            <w:hyperlink r:id="rId65">
              <w:r>
                <w:rPr>
                  <w:rStyle w:val="InternetLink"/>
                  <w:rFonts w:ascii="Times New Roman;sans-serif" w:hAnsi="Times New Roman;sans-serif"/>
                  <w:b w:val="false"/>
                  <w:color w:val="000080"/>
                  <w:sz w:val="20"/>
                  <w:u w:val="single"/>
                </w:rPr>
                <w:t>dopted December 3,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3/16/2023</w:t>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6">
              <w:r>
                <w:rPr>
                  <w:rStyle w:val="InternetLink"/>
                  <w:rFonts w:ascii="Times New Roman;sans-serif" w:hAnsi="Times New Roman;sans-serif"/>
                  <w:b w:val="false"/>
                  <w:color w:val="0000FF"/>
                  <w:sz w:val="20"/>
                  <w:u w:val="single"/>
                </w:rPr>
                <w:t>Binding Term Sheet, dated June 23, 2021, by and between NBCUniversal Media, LLC and BuzzFeed,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76" w:before="0" w:after="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59"/>
        <w:gridCol w:w="227"/>
        <w:gridCol w:w="231"/>
        <w:gridCol w:w="109"/>
        <w:gridCol w:w="109"/>
        <w:gridCol w:w="109"/>
        <w:gridCol w:w="2382"/>
        <w:gridCol w:w="2382"/>
        <w:gridCol w:w="2386"/>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24buzzfeedidnmlic.htm">
              <w:r>
                <w:rPr>
                  <w:rStyle w:val="InternetLink"/>
                  <w:rFonts w:ascii="Times New Roman;sans-serif" w:hAnsi="Times New Roman;sans-serif"/>
                  <w:b w:val="false"/>
                  <w:color w:val="000080"/>
                  <w:sz w:val="20"/>
                  <w:u w:val="single"/>
                </w:rPr>
                <w:t>License Agreement, dated March 28, 2024, by and between BuzzFeed Media Enterprises</w:t>
              </w:r>
            </w:hyperlink>
            <w:hyperlink w:anchor="exhibit1024buzzfeedidnmlic.htm">
              <w:r>
                <w:rPr>
                  <w:rStyle w:val="InternetLink"/>
                  <w:rFonts w:ascii="Times New Roman;sans-serif" w:hAnsi="Times New Roman;sans-serif"/>
                  <w:b w:val="false"/>
                  <w:color w:val="000080"/>
                  <w:sz w:val="20"/>
                  <w:u w:val="single"/>
                </w:rPr>
                <w:t xml:space="preserve">, </w:t>
              </w:r>
            </w:hyperlink>
            <w:hyperlink w:anchor="exhibit1024buzzfeedidnmlic.htm">
              <w:r>
                <w:rPr>
                  <w:rStyle w:val="InternetLink"/>
                  <w:rFonts w:ascii="Times New Roman;sans-serif" w:hAnsi="Times New Roman;sans-serif"/>
                  <w:b w:val="false"/>
                  <w:color w:val="000080"/>
                  <w:sz w:val="20"/>
                  <w:u w:val="single"/>
                </w:rPr>
                <w:t>Inc.</w:t>
              </w:r>
            </w:hyperlink>
            <w:hyperlink w:anchor="exhibit1024buzzfeedidnmlic.htm">
              <w:r>
                <w:rPr>
                  <w:rStyle w:val="InternetLink"/>
                  <w:rFonts w:ascii="Times New Roman;sans-serif" w:hAnsi="Times New Roman;sans-serif"/>
                  <w:b/>
                  <w:color w:val="0000FF"/>
                  <w:sz w:val="20"/>
                  <w:u w:val="single"/>
                </w:rPr>
                <w:t xml:space="preserve">, </w:t>
              </w:r>
            </w:hyperlink>
            <w:hyperlink w:anchor="exhibit1024buzzfeedidnmlic.htm">
              <w:r>
                <w:rPr>
                  <w:rStyle w:val="InternetLink"/>
                  <w:rFonts w:ascii="Times New Roman;sans-serif" w:hAnsi="Times New Roman;sans-serif"/>
                  <w:b w:val="false"/>
                  <w:color w:val="000080"/>
                  <w:sz w:val="20"/>
                  <w:u w:val="single"/>
                </w:rPr>
                <w:t>BuzzFeed UK Ltd</w:t>
              </w:r>
            </w:hyperlink>
            <w:hyperlink w:anchor="exhibit1024buzzfeedidnmlic.htm">
              <w:r>
                <w:rPr>
                  <w:rStyle w:val="InternetLink"/>
                  <w:rFonts w:ascii="Times New Roman;sans-serif" w:hAnsi="Times New Roman;sans-serif"/>
                  <w:b w:val="false"/>
                  <w:color w:val="000080"/>
                  <w:sz w:val="20"/>
                  <w:u w:val="single"/>
                </w:rPr>
                <w:t>.</w:t>
              </w:r>
            </w:hyperlink>
            <w:hyperlink w:anchor="exhibit1024buzzfeedidnmlic.htm">
              <w:r>
                <w:rPr>
                  <w:rStyle w:val="InternetLink"/>
                  <w:rFonts w:ascii="Times New Roman;sans-serif" w:hAnsi="Times New Roman;sans-serif"/>
                  <w:b w:val="false"/>
                  <w:color w:val="000080"/>
                  <w:sz w:val="20"/>
                  <w:u w:val="single"/>
                </w:rPr>
                <w:t xml:space="preserve">, </w:t>
              </w:r>
            </w:hyperlink>
            <w:hyperlink w:anchor="exhibit1024buzzfeedidnmlic.htm">
              <w:r>
                <w:rPr>
                  <w:rStyle w:val="InternetLink"/>
                  <w:rFonts w:ascii="Times New Roman;sans-serif" w:hAnsi="Times New Roman;sans-serif"/>
                  <w:b w:val="false"/>
                  <w:color w:val="000080"/>
                  <w:sz w:val="20"/>
                  <w:u w:val="single"/>
                </w:rPr>
                <w:t>TheHuffingtonPost.com, Inc.</w:t>
              </w:r>
            </w:hyperlink>
            <w:hyperlink w:anchor="exhibit1024buzzfeedidnmlic.htm">
              <w:r>
                <w:rPr>
                  <w:rStyle w:val="InternetLink"/>
                  <w:rFonts w:ascii="Times New Roman;sans-serif" w:hAnsi="Times New Roman;sans-serif"/>
                  <w:b w:val="false"/>
                  <w:color w:val="000080"/>
                  <w:sz w:val="20"/>
                  <w:u w:val="single"/>
                </w:rPr>
                <w:t xml:space="preserve">, and </w:t>
              </w:r>
            </w:hyperlink>
            <w:hyperlink w:anchor="exhibit1024buzzfeedidnmlic.htm">
              <w:r>
                <w:rPr>
                  <w:rStyle w:val="InternetLink"/>
                  <w:rFonts w:ascii="Times New Roman;sans-serif" w:hAnsi="Times New Roman;sans-serif"/>
                  <w:b w:val="false"/>
                  <w:color w:val="000080"/>
                  <w:sz w:val="20"/>
                  <w:u w:val="single"/>
                </w:rPr>
                <w:t>Independent Digital News and Media Limited</w:t>
              </w:r>
            </w:hyperlink>
            <w:hyperlink w:anchor="exhibit1024buzzfeedidnmlic.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911securitiestradi.htm">
              <w:r>
                <w:rPr>
                  <w:rStyle w:val="InternetLink"/>
                  <w:rFonts w:ascii="Times New Roman;sans-serif" w:hAnsi="Times New Roman;sans-serif"/>
                  <w:b w:val="false"/>
                  <w:color w:val="000080"/>
                  <w:sz w:val="20"/>
                  <w:u w:val="single"/>
                </w:rPr>
                <w:t>Securities Trading Policy (</w:t>
              </w:r>
            </w:hyperlink>
            <w:hyperlink w:anchor="exhibit1911securitiestradi.htm">
              <w:r>
                <w:rPr>
                  <w:rStyle w:val="InternetLink"/>
                  <w:rFonts w:ascii="Times New Roman;sans-serif" w:hAnsi="Times New Roman;sans-serif"/>
                  <w:b w:val="false"/>
                  <w:color w:val="000080"/>
                  <w:sz w:val="20"/>
                  <w:u w:val="single"/>
                </w:rPr>
                <w:t>a</w:t>
              </w:r>
            </w:hyperlink>
            <w:hyperlink w:anchor="exhibit1911securitiestradi.htm">
              <w:r>
                <w:rPr>
                  <w:rStyle w:val="InternetLink"/>
                  <w:rFonts w:ascii="Times New Roman;sans-serif" w:hAnsi="Times New Roman;sans-serif"/>
                  <w:b w:val="false"/>
                  <w:color w:val="000080"/>
                  <w:sz w:val="20"/>
                  <w:u w:val="single"/>
                </w:rPr>
                <w:t>dopted December 3,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91210b5-1plansapri.htm">
              <w:r>
                <w:rPr>
                  <w:rStyle w:val="InternetLink"/>
                  <w:rFonts w:ascii="Times New Roman;sans-serif" w:hAnsi="Times New Roman;sans-serif"/>
                  <w:b w:val="false"/>
                  <w:color w:val="0000FF"/>
                  <w:sz w:val="20"/>
                  <w:u w:val="single"/>
                </w:rPr>
                <w:t>Policy on 10b5-1 Plans (adopted December 3,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1buzzfeedincsubsi.htm">
              <w:r>
                <w:rPr>
                  <w:rStyle w:val="InternetLink"/>
                  <w:rFonts w:ascii="Times New Roman;sans-serif" w:hAnsi="Times New Roman;sans-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deloitteconsent.htm">
              <w:r>
                <w:rPr>
                  <w:rStyle w:val="InternetLink"/>
                  <w:rFonts w:ascii="Times New Roman;sans-serif" w:hAnsi="Times New Roman;sans-serif"/>
                  <w:b w:val="false"/>
                  <w:color w:val="0000FF"/>
                  <w:sz w:val="20"/>
                  <w:u w:val="single"/>
                </w:rPr>
                <w:t>Consent of Deloitte &amp; Touche,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aface49ba94afe80ef181e468a62f6_250">
              <w:r>
                <w:rPr>
                  <w:rStyle w:val="InternetLink"/>
                  <w:rFonts w:ascii="Times New Roman;sans-serif" w:hAnsi="Times New Roman;sans-serif"/>
                  <w:b w:val="false"/>
                  <w:color w:val="0000FF"/>
                  <w:sz w:val="20"/>
                  <w:u w:val="single"/>
                </w:rPr>
                <w:t>Power of Attorney (reference is made to the signature page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zfd-20231231xex311.htm">
              <w:r>
                <w:rPr>
                  <w:rStyle w:val="InternetLink"/>
                  <w:rFonts w:ascii="Times New Roman;sans-serif" w:hAnsi="Times New Roman;sans-serif"/>
                  <w:b w:val="false"/>
                  <w:color w:val="0000FF"/>
                  <w:sz w:val="20"/>
                  <w:u w:val="single"/>
                </w:rPr>
                <w:t>Certification of Principal Executive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zfd-20231231xex312.htm">
              <w:r>
                <w:rPr>
                  <w:rStyle w:val="InternetLink"/>
                  <w:rFonts w:ascii="Times New Roman;sans-serif" w:hAnsi="Times New Roman;sans-serif"/>
                  <w:b w:val="false"/>
                  <w:color w:val="0000FF"/>
                  <w:sz w:val="20"/>
                  <w:u w:val="single"/>
                </w:rPr>
                <w:t>Certification of Principal Financial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zfd-20231231x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zfd-20231231x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71-recoveroferrone.htm">
              <w:r>
                <w:rPr>
                  <w:rStyle w:val="InternetLink"/>
                  <w:rFonts w:ascii="Times New Roman;sans-serif" w:hAnsi="Times New Roman;sans-serif"/>
                  <w:b w:val="false"/>
                  <w:color w:val="000080"/>
                  <w:sz w:val="20"/>
                  <w:u w:val="single"/>
                </w:rPr>
                <w:t>Policy for the Recovery of Erroneously Awarded Compensation (</w:t>
              </w:r>
            </w:hyperlink>
            <w:hyperlink w:anchor="exhibit971-recoveroferrone.htm">
              <w:r>
                <w:rPr>
                  <w:rStyle w:val="InternetLink"/>
                  <w:rFonts w:ascii="Times New Roman;sans-serif" w:hAnsi="Times New Roman;sans-serif"/>
                  <w:b w:val="false"/>
                  <w:color w:val="000080"/>
                  <w:sz w:val="20"/>
                  <w:u w:val="single"/>
                </w:rPr>
                <w:t>a</w:t>
              </w:r>
            </w:hyperlink>
            <w:hyperlink w:anchor="exhibit971-recoveroferrone.htm">
              <w:r>
                <w:rPr>
                  <w:rStyle w:val="InternetLink"/>
                  <w:rFonts w:ascii="Times New Roman;sans-serif" w:hAnsi="Times New Roman;sans-serif"/>
                  <w:b w:val="false"/>
                  <w:color w:val="000080"/>
                  <w:sz w:val="20"/>
                  <w:u w:val="single"/>
                </w:rPr>
                <w:t>dopted October 12, 2023).</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Schedules and exhibits to this Exhibit omitted pursuant to Regulation S-K Item 601(b)(2). The Registrant agrees to furnish supplementally a copy of any omitted schedule or exhibit to the U.S. Securities and Exchange Commission upon request.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The Registrant has omitted portions of this Exhibit as permitted under Item 601(b)(1) of Regulation S-K.</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Indicates a management or compensatory plan or arrangement in which directors or executive officers are eligible to participate.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76" w:before="432" w:after="600"/>
        <w:jc w:val="left"/>
        <w:rPr/>
      </w:pPr>
      <w:hyperlink w:anchor="i26aface49ba94afe80ef181e468a62f6_10">
        <w:r>
          <w:rPr>
            <w:rStyle w:val="InternetLink"/>
            <w:rFonts w:ascii="Times New Roman;sans-serif" w:hAnsi="Times New Roman;sans-serif"/>
            <w:b w:val="false"/>
            <w:color w:val="000080"/>
            <w:sz w:val="20"/>
            <w:u w:val="single"/>
          </w:rPr>
          <w:t xml:space="preserve">Table of </w:t>
        </w:r>
      </w:hyperlink>
      <w:hyperlink w:anchor="i26aface49ba94afe80ef181e468a62f6_10">
        <w:r>
          <w:rPr>
            <w:rStyle w:val="InternetLink"/>
            <w:rFonts w:ascii="Times New Roman;sans-serif" w:hAnsi="Times New Roman;sans-serif"/>
            <w:b w:val="false"/>
            <w:color w:val="000080"/>
            <w:sz w:val="20"/>
            <w:u w:val="single"/>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7090"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209"/>
        <w:gridCol w:w="209"/>
        <w:gridCol w:w="209"/>
        <w:gridCol w:w="1308"/>
        <w:gridCol w:w="1308"/>
        <w:gridCol w:w="189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Jonah Peretti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Jonah Peretti</w:t>
            </w:r>
          </w:p>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Chief Executive Officer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29, 2024</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whose signature appears below constitutes and appoints Jonah Peretti and Matt Omer, and each of them, as his or her true and lawful attorneys-in-fact, proxies and agents, each with full power of substitution and re-substitution, for him or her and in his or her name, place and stead, in any and all capacities, to sign any and all amendments to this Annual Report on Form 10-K and to file the same, with any exhibits thereto and other documents in connection therewith, with the U.S. Securities and Exchange Commission,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or her substitutes, may lawfully do or cause to be done by virtue hereof.</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in the capacities and on the dates indicated.</w:t>
      </w:r>
    </w:p>
    <w:tbl>
      <w:tblPr>
        <w:tblW w:w="6936" w:type="dxa"/>
        <w:jc w:val="left"/>
        <w:tblInd w:w="0" w:type="dxa"/>
        <w:tblLayout w:type="fixed"/>
        <w:tblCellMar>
          <w:top w:w="28" w:type="dxa"/>
          <w:left w:w="28" w:type="dxa"/>
          <w:bottom w:w="28" w:type="dxa"/>
          <w:right w:w="28" w:type="dxa"/>
        </w:tblCellMar>
      </w:tblPr>
      <w:tblGrid>
        <w:gridCol w:w="638"/>
        <w:gridCol w:w="561"/>
        <w:gridCol w:w="570"/>
        <w:gridCol w:w="109"/>
        <w:gridCol w:w="109"/>
        <w:gridCol w:w="109"/>
        <w:gridCol w:w="1020"/>
        <w:gridCol w:w="1020"/>
        <w:gridCol w:w="1034"/>
        <w:gridCol w:w="109"/>
        <w:gridCol w:w="109"/>
        <w:gridCol w:w="109"/>
        <w:gridCol w:w="419"/>
        <w:gridCol w:w="419"/>
        <w:gridCol w:w="601"/>
      </w:tblGrid>
      <w:tr>
        <w:trPr/>
        <w:tc>
          <w:tcPr>
            <w:tcW w:w="63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Jonah Peretti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29, 2024</w:t>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Jonah Peretti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Matt 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29, 2024</w:t>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Matt 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Weinstein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29, 2024</w:t>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Daniel Weinstein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Anjula Acharia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29, 2024</w:t>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Anjula Acharia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Greg Coleman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29, 2024</w:t>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Greg Coleman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Janet Rollé</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29, 2024</w:t>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Janet Rollé</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Patrick Kerins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29, 2024</w:t>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Patrick Kerins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Adam Rothstein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29, 2024</w:t>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Adam Rothstein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Exhibit 10.15.1</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1676400" cy="295275"/>
            <wp:effectExtent l="0" t="0" r="0" b="0"/>
            <wp:docPr id="1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 descr=""/>
                    <pic:cNvPicPr>
                      <a:picLocks noChangeAspect="1" noChangeArrowheads="1"/>
                    </pic:cNvPicPr>
                  </pic:nvPicPr>
                  <pic:blipFill>
                    <a:blip r:embed="rId67"/>
                    <a:stretch>
                      <a:fillRect/>
                    </a:stretch>
                  </pic:blipFill>
                  <pic:spPr bwMode="auto">
                    <a:xfrm>
                      <a:off x="0" y="0"/>
                      <a:ext cx="1676400" cy="295275"/>
                    </a:xfrm>
                    <a:prstGeom prst="rect">
                      <a:avLst/>
                    </a:prstGeom>
                  </pic:spPr>
                </pic:pic>
              </a:graphicData>
            </a:graphic>
          </wp:inline>
        </w:drawing>
      </w:r>
    </w:p>
    <w:p>
      <w:pPr>
        <w:pStyle w:val="TextBody"/>
        <w:bidi w:val="0"/>
        <w:spacing w:lineRule="auto" w:line="333" w:before="0" w:after="0"/>
        <w:jc w:val="right"/>
        <w:rPr>
          <w:shd w:fill="FFFFFF" w:val="clear"/>
        </w:rPr>
      </w:pPr>
      <w:r>
        <w:rPr>
          <w:color w:val="000000"/>
          <w:shd w:fill="FFFFFF" w:val="clear"/>
        </w:rPr>
        <w:t>                </w:t>
      </w:r>
      <w:r>
        <w:rPr>
          <w:rFonts w:ascii="Times New Roman;sans-serif" w:hAnsi="Times New Roman;sans-serif"/>
          <w:b w:val="false"/>
          <w:color w:val="000000"/>
          <w:sz w:val="14"/>
          <w:shd w:fill="FFFFFF" w:val="clear"/>
        </w:rPr>
        <w:t>111 E. 18</w:t>
      </w:r>
      <w:r>
        <w:rPr>
          <w:rFonts w:ascii="Times New Roman;sans-serif" w:hAnsi="Times New Roman;sans-serif"/>
          <w:b w:val="false"/>
          <w:color w:val="000000"/>
          <w:sz w:val="9"/>
          <w:shd w:fill="FFFFFF" w:val="clear"/>
        </w:rPr>
        <w:t>th</w:t>
      </w:r>
      <w:r>
        <w:rPr>
          <w:color w:val="000000"/>
          <w:shd w:fill="FFFFFF" w:val="clear"/>
        </w:rPr>
        <w:t xml:space="preserve"> </w:t>
      </w:r>
      <w:r>
        <w:rPr>
          <w:rFonts w:ascii="Times New Roman;sans-serif" w:hAnsi="Times New Roman;sans-serif"/>
          <w:b w:val="false"/>
          <w:color w:val="000000"/>
          <w:sz w:val="14"/>
          <w:shd w:fill="FFFFFF" w:val="clear"/>
        </w:rPr>
        <w:t>St. New York, NY 10003</w:t>
      </w:r>
    </w:p>
    <w:p>
      <w:pPr>
        <w:pStyle w:val="TextBody"/>
        <w:bidi w:val="0"/>
        <w:spacing w:lineRule="auto" w:line="333" w:before="0" w:after="0"/>
        <w:jc w:val="right"/>
        <w:rPr>
          <w:shd w:fill="FFFFFF" w:val="clear"/>
        </w:rPr>
      </w:pPr>
      <w:r>
        <w:rPr>
          <w:color w:val="000000"/>
          <w:shd w:fill="FFFFFF" w:val="clear"/>
        </w:rPr>
        <w:t xml:space="preserve">                                     </w:t>
      </w:r>
      <w:r>
        <w:rPr>
          <w:rFonts w:ascii="Times New Roman;sans-serif" w:hAnsi="Times New Roman;sans-serif"/>
          <w:b w:val="false"/>
          <w:color w:val="000000"/>
          <w:sz w:val="12"/>
          <w:shd w:fill="FFFFFF" w:val="clear"/>
        </w:rPr>
        <w:t>Tel</w:t>
      </w:r>
      <w:r>
        <w:rPr>
          <w:color w:val="000000"/>
          <w:shd w:fill="FFFFFF" w:val="clear"/>
        </w:rPr>
        <w:t xml:space="preserve"> </w:t>
      </w:r>
      <w:r>
        <w:rPr>
          <w:rFonts w:ascii="Times New Roman;sans-serif" w:hAnsi="Times New Roman;sans-serif"/>
          <w:b w:val="false"/>
          <w:color w:val="000000"/>
          <w:sz w:val="14"/>
          <w:shd w:fill="FFFFFF" w:val="clear"/>
        </w:rPr>
        <w:t xml:space="preserve">(212) 431 7464 </w:t>
      </w:r>
      <w:r>
        <w:rPr>
          <w:rFonts w:ascii="Times New Roman;sans-serif" w:hAnsi="Times New Roman;sans-serif"/>
          <w:b w:val="false"/>
          <w:color w:val="000000"/>
          <w:sz w:val="12"/>
          <w:shd w:fill="FFFFFF" w:val="clear"/>
        </w:rPr>
        <w:t>Fax</w:t>
      </w:r>
      <w:r>
        <w:rPr>
          <w:color w:val="000000"/>
          <w:shd w:fill="FFFFFF" w:val="clear"/>
        </w:rPr>
        <w:t xml:space="preserve"> </w:t>
      </w:r>
      <w:r>
        <w:rPr>
          <w:rFonts w:ascii="Times New Roman;sans-serif" w:hAnsi="Times New Roman;sans-serif"/>
          <w:b w:val="false"/>
          <w:color w:val="000000"/>
          <w:sz w:val="14"/>
          <w:shd w:fill="FFFFFF" w:val="clear"/>
        </w:rPr>
        <w:t xml:space="preserve">(212) 431 7461 </w:t>
      </w:r>
      <w:r>
        <w:rPr>
          <w:rFonts w:ascii="Times New Roman;sans-serif" w:hAnsi="Times New Roman;sans-serif"/>
          <w:b w:val="false"/>
          <w:color w:val="EE3322"/>
          <w:sz w:val="14"/>
          <w:shd w:fill="FFFFFF" w:val="clear"/>
        </w:rPr>
        <w:t>buzzfeed.com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July 8, 2019</w:t>
      </w:r>
    </w:p>
    <w:p>
      <w:pPr>
        <w:pStyle w:val="TextBody"/>
        <w:bidi w:val="0"/>
        <w:spacing w:lineRule="auto" w:line="319"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David Arroyo</w:t>
      </w:r>
    </w:p>
    <w:p>
      <w:pPr>
        <w:pStyle w:val="TextBody"/>
        <w:bidi w:val="0"/>
        <w:spacing w:lineRule="auto" w:line="319"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Dear David,</w:t>
      </w:r>
    </w:p>
    <w:p>
      <w:pPr>
        <w:pStyle w:val="TextBody"/>
        <w:bidi w:val="0"/>
        <w:spacing w:lineRule="auto" w:line="319" w:before="0" w:after="0"/>
        <w:jc w:val="left"/>
        <w:rPr>
          <w:shd w:fill="FFFFFF" w:val="clear"/>
        </w:rPr>
      </w:pPr>
      <w:r>
        <w:rPr>
          <w:rFonts w:ascii="Times New Roman;sans-serif" w:hAnsi="Times New Roman;sans-serif"/>
          <w:b w:val="false"/>
          <w:color w:val="000000"/>
          <w:sz w:val="24"/>
          <w:shd w:fill="FFFFFF" w:val="clear"/>
        </w:rPr>
        <w:t>BuzzFeed, Inc. (the “</w:t>
      </w:r>
      <w:r>
        <w:rPr>
          <w:rFonts w:ascii="Times New Roman;sans-serif" w:hAnsi="Times New Roman;sans-serif"/>
          <w:b w:val="false"/>
          <w:color w:val="000000"/>
          <w:sz w:val="24"/>
          <w:u w:val="single"/>
          <w:shd w:fill="FFFFFF" w:val="clear"/>
        </w:rPr>
        <w:t>Company</w:t>
      </w:r>
      <w:r>
        <w:rPr>
          <w:color w:val="000000"/>
          <w:shd w:fill="FFFFFF" w:val="clear"/>
        </w:rPr>
        <w:t>”</w:t>
      </w:r>
      <w:r>
        <w:rPr>
          <w:rFonts w:ascii="Times New Roman;sans-serif" w:hAnsi="Times New Roman;sans-serif"/>
          <w:b w:val="false"/>
          <w:color w:val="000000"/>
          <w:sz w:val="24"/>
          <w:shd w:fill="FFFFFF" w:val="clear"/>
        </w:rPr>
        <w:t>) is pleased to offer you employment on the following terms:</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1. </w:t>
      </w:r>
      <w:r>
        <w:rPr>
          <w:rFonts w:ascii="Times New Roman;sans-serif" w:hAnsi="Times New Roman;sans-serif"/>
          <w:b/>
          <w:color w:val="000000"/>
          <w:sz w:val="24"/>
          <w:u w:val="single"/>
          <w:shd w:fill="FFFFFF" w:val="clear"/>
        </w:rPr>
        <w:t>Position</w:t>
      </w:r>
      <w:r>
        <w:rPr>
          <w:rFonts w:ascii="Times New Roman;sans-serif" w:hAnsi="Times New Roman;sans-serif"/>
          <w:b w:val="false"/>
          <w:color w:val="000000"/>
          <w:sz w:val="24"/>
          <w:shd w:fill="FFFFFF" w:val="clear"/>
        </w:rPr>
        <w:t>. Your initial title will be Associate General Counsel and you will initially report to the company’s General Counsel. This is a full-time position based in New York, NY. By signing this letter agreement, you confirm to the Company that you have no contractual commitments or other legal obligations that would prohibit you from performing your duties for the Company.</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2. </w:t>
      </w:r>
      <w:r>
        <w:rPr>
          <w:rFonts w:ascii="Times New Roman;sans-serif" w:hAnsi="Times New Roman;sans-serif"/>
          <w:b/>
          <w:color w:val="000000"/>
          <w:sz w:val="24"/>
          <w:u w:val="single"/>
          <w:shd w:fill="FFFFFF" w:val="clear"/>
        </w:rPr>
        <w:t>Cash Compensation</w:t>
      </w:r>
      <w:r>
        <w:rPr>
          <w:rFonts w:ascii="Times New Roman;sans-serif" w:hAnsi="Times New Roman;sans-serif"/>
          <w:b w:val="false"/>
          <w:color w:val="000000"/>
          <w:sz w:val="24"/>
          <w:shd w:fill="FFFFFF" w:val="clear"/>
        </w:rPr>
        <w:t>. The Company will pay you a starting salary at the rate of $255,000.00 per year, payable in accordance with the Company’s standard payroll schedule, and subject to all withholdings and deductions as required by law.</w:t>
      </w:r>
    </w:p>
    <w:p>
      <w:pPr>
        <w:pStyle w:val="TextBody"/>
        <w:bidi w:val="0"/>
        <w:spacing w:lineRule="auto" w:line="319" w:before="20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In addition, you will be eligible to earn Bonus Compensation for each calendar year based on targets determined by the Company; your target Bonus Compensation per year will initially be $51,000.00. Any 2019 Bonus Compensation shall be prorated based on the number of days worked in the 2019 calendar year. Bonus Compensation will be determined through a combination of overall BuzzFeed performance and your own individual performance against goals and competencies determined by your manager. BuzzFeed reserves the right to determine the extent to which the Bonus is paid. Bonus Compensation is to be paid annually within 75 days after the close of the calendar year to which it relates, subject to your remaining employed by the Company through the date of payment. Determinations as to the achievement of Bonus Compensation targets will be in the sole discretion of the Company. The determinations of the Company’s Board of Directors with respect to your Bonus Compensation will be final and binding.</w:t>
      </w:r>
    </w:p>
    <w:p>
      <w:pPr>
        <w:pStyle w:val="TextBody"/>
        <w:bidi w:val="0"/>
        <w:spacing w:lineRule="auto" w:line="319" w:before="20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Your salary and Bonus Compensation structure will be subject to adjustment pursuant to the Company’s employee compensation policies in effect from time to time.</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3.     </w:t>
      </w:r>
      <w:r>
        <w:rPr>
          <w:rFonts w:ascii="Times New Roman;sans-serif" w:hAnsi="Times New Roman;sans-serif"/>
          <w:b/>
          <w:color w:val="000000"/>
          <w:sz w:val="24"/>
          <w:u w:val="single"/>
          <w:shd w:fill="FFFFFF" w:val="clear"/>
        </w:rPr>
        <w:t>Employee Benefits</w:t>
      </w:r>
      <w:r>
        <w:rPr>
          <w:rFonts w:ascii="Times New Roman;sans-serif" w:hAnsi="Times New Roman;sans-serif"/>
          <w:b w:val="false"/>
          <w:color w:val="000000"/>
          <w:sz w:val="24"/>
          <w:shd w:fill="FFFFFF" w:val="clear"/>
        </w:rPr>
        <w:t xml:space="preserve">. As a regular employee of the Company, you will be eligible to participate in a number of Company-sponsored benefits, including medical and dental. In addition, we provide a 401(k) retirement plan. You will be automatically enrolled in the pre-tax 401(k) plan at 3% in a Vanguard Institutional Target Retirement Fund with the target date closest to the year in which you will reach age 65. More detailed information, including how to opt out or change your contribution amount, will be provided to you when you start. In addition, you </w:t>
      </w:r>
    </w:p>
    <w:p>
      <w:pPr>
        <w:pStyle w:val="TextBody"/>
        <w:bidi w:val="0"/>
        <w:spacing w:lineRule="auto" w:line="319" w:before="0" w:after="0"/>
        <w:jc w:val="righ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Exhibit 10.15.1</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1.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1676400" cy="295275"/>
            <wp:effectExtent l="0" t="0" r="0" b="0"/>
            <wp:docPr id="1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 descr=""/>
                    <pic:cNvPicPr>
                      <a:picLocks noChangeAspect="1" noChangeArrowheads="1"/>
                    </pic:cNvPicPr>
                  </pic:nvPicPr>
                  <pic:blipFill>
                    <a:blip r:embed="rId68"/>
                    <a:stretch>
                      <a:fillRect/>
                    </a:stretch>
                  </pic:blipFill>
                  <pic:spPr bwMode="auto">
                    <a:xfrm>
                      <a:off x="0" y="0"/>
                      <a:ext cx="1676400" cy="295275"/>
                    </a:xfrm>
                    <a:prstGeom prst="rect">
                      <a:avLst/>
                    </a:prstGeom>
                  </pic:spPr>
                </pic:pic>
              </a:graphicData>
            </a:graphic>
          </wp:inline>
        </w:drawing>
      </w:r>
    </w:p>
    <w:p>
      <w:pPr>
        <w:pStyle w:val="TextBody"/>
        <w:bidi w:val="0"/>
        <w:spacing w:lineRule="auto" w:line="333" w:before="0" w:after="0"/>
        <w:jc w:val="right"/>
        <w:rPr>
          <w:shd w:fill="FFFFFF" w:val="clear"/>
        </w:rPr>
      </w:pPr>
      <w:r>
        <w:rPr>
          <w:color w:val="000000"/>
          <w:shd w:fill="FFFFFF" w:val="clear"/>
        </w:rPr>
        <w:t>                </w:t>
      </w:r>
      <w:r>
        <w:rPr>
          <w:rFonts w:ascii="Times New Roman;sans-serif" w:hAnsi="Times New Roman;sans-serif"/>
          <w:b w:val="false"/>
          <w:color w:val="000000"/>
          <w:sz w:val="14"/>
          <w:shd w:fill="FFFFFF" w:val="clear"/>
        </w:rPr>
        <w:t>111 E. 18</w:t>
      </w:r>
      <w:r>
        <w:rPr>
          <w:rFonts w:ascii="Times New Roman;sans-serif" w:hAnsi="Times New Roman;sans-serif"/>
          <w:b w:val="false"/>
          <w:color w:val="000000"/>
          <w:sz w:val="9"/>
          <w:shd w:fill="FFFFFF" w:val="clear"/>
        </w:rPr>
        <w:t>th</w:t>
      </w:r>
      <w:r>
        <w:rPr>
          <w:color w:val="000000"/>
          <w:shd w:fill="FFFFFF" w:val="clear"/>
        </w:rPr>
        <w:t xml:space="preserve"> </w:t>
      </w:r>
      <w:r>
        <w:rPr>
          <w:rFonts w:ascii="Times New Roman;sans-serif" w:hAnsi="Times New Roman;sans-serif"/>
          <w:b w:val="false"/>
          <w:color w:val="000000"/>
          <w:sz w:val="14"/>
          <w:shd w:fill="FFFFFF" w:val="clear"/>
        </w:rPr>
        <w:t>St. New York, NY 10003</w:t>
      </w:r>
    </w:p>
    <w:p>
      <w:pPr>
        <w:pStyle w:val="TextBody"/>
        <w:bidi w:val="0"/>
        <w:spacing w:lineRule="auto" w:line="333" w:before="0" w:after="0"/>
        <w:jc w:val="right"/>
        <w:rPr>
          <w:shd w:fill="FFFFFF" w:val="clear"/>
        </w:rPr>
      </w:pPr>
      <w:r>
        <w:rPr>
          <w:color w:val="000000"/>
          <w:shd w:fill="FFFFFF" w:val="clear"/>
        </w:rPr>
        <w:t xml:space="preserve">                                     </w:t>
      </w:r>
      <w:r>
        <w:rPr>
          <w:rFonts w:ascii="Times New Roman;sans-serif" w:hAnsi="Times New Roman;sans-serif"/>
          <w:b w:val="false"/>
          <w:color w:val="000000"/>
          <w:sz w:val="12"/>
          <w:shd w:fill="FFFFFF" w:val="clear"/>
        </w:rPr>
        <w:t>Tel</w:t>
      </w:r>
      <w:r>
        <w:rPr>
          <w:color w:val="000000"/>
          <w:shd w:fill="FFFFFF" w:val="clear"/>
        </w:rPr>
        <w:t xml:space="preserve"> </w:t>
      </w:r>
      <w:r>
        <w:rPr>
          <w:rFonts w:ascii="Times New Roman;sans-serif" w:hAnsi="Times New Roman;sans-serif"/>
          <w:b w:val="false"/>
          <w:color w:val="000000"/>
          <w:sz w:val="14"/>
          <w:shd w:fill="FFFFFF" w:val="clear"/>
        </w:rPr>
        <w:t xml:space="preserve">(212) 431 7464 </w:t>
      </w:r>
      <w:r>
        <w:rPr>
          <w:rFonts w:ascii="Times New Roman;sans-serif" w:hAnsi="Times New Roman;sans-serif"/>
          <w:b w:val="false"/>
          <w:color w:val="000000"/>
          <w:sz w:val="12"/>
          <w:shd w:fill="FFFFFF" w:val="clear"/>
        </w:rPr>
        <w:t>Fax</w:t>
      </w:r>
      <w:r>
        <w:rPr>
          <w:color w:val="000000"/>
          <w:shd w:fill="FFFFFF" w:val="clear"/>
        </w:rPr>
        <w:t xml:space="preserve"> </w:t>
      </w:r>
      <w:r>
        <w:rPr>
          <w:rFonts w:ascii="Times New Roman;sans-serif" w:hAnsi="Times New Roman;sans-serif"/>
          <w:b w:val="false"/>
          <w:color w:val="000000"/>
          <w:sz w:val="14"/>
          <w:shd w:fill="FFFFFF" w:val="clear"/>
        </w:rPr>
        <w:t xml:space="preserve">(212) 431 7461 </w:t>
      </w:r>
      <w:r>
        <w:rPr>
          <w:rFonts w:ascii="Times New Roman;sans-serif" w:hAnsi="Times New Roman;sans-serif"/>
          <w:b w:val="false"/>
          <w:color w:val="EE3322"/>
          <w:sz w:val="14"/>
          <w:shd w:fill="FFFFFF" w:val="clear"/>
        </w:rPr>
        <w:t>buzzfeed.com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20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will be entitled to accrue three weeks’ vacation annually in accordance with the Company’s vacation policy (including the Company’s standard accrual maximums), as in effect from time to time. You will also be covered by the Company’s sick leave policies.</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4. </w:t>
      </w:r>
      <w:r>
        <w:rPr>
          <w:rFonts w:ascii="Times New Roman;sans-serif" w:hAnsi="Times New Roman;sans-serif"/>
          <w:b/>
          <w:color w:val="000000"/>
          <w:sz w:val="24"/>
          <w:u w:val="single"/>
          <w:shd w:fill="FFFFFF" w:val="clear"/>
        </w:rPr>
        <w:t>Stock Options</w:t>
      </w:r>
      <w:r>
        <w:rPr>
          <w:rFonts w:ascii="Times New Roman;sans-serif" w:hAnsi="Times New Roman;sans-serif"/>
          <w:b w:val="false"/>
          <w:color w:val="000000"/>
          <w:sz w:val="24"/>
          <w:shd w:fill="FFFFFF" w:val="clear"/>
        </w:rPr>
        <w:t>. Subject to the approval of the Company’s Board of Directors or its Compensation Committee, you will be granted an option to purchase 75,000 shares of the Company’s Common Stock (the “</w:t>
      </w:r>
      <w:r>
        <w:rPr>
          <w:rFonts w:ascii="Times New Roman;sans-serif" w:hAnsi="Times New Roman;sans-serif"/>
          <w:b w:val="false"/>
          <w:color w:val="000000"/>
          <w:sz w:val="24"/>
          <w:u w:val="single"/>
          <w:shd w:fill="FFFFFF" w:val="clear"/>
        </w:rPr>
        <w:t>Option</w:t>
      </w:r>
      <w:r>
        <w:rPr>
          <w:color w:val="000000"/>
          <w:shd w:fill="FFFFFF" w:val="clear"/>
        </w:rPr>
        <w:t>”</w:t>
      </w:r>
      <w:r>
        <w:rPr>
          <w:rFonts w:ascii="Times New Roman;sans-serif" w:hAnsi="Times New Roman;sans-serif"/>
          <w:b w:val="false"/>
          <w:color w:val="000000"/>
          <w:sz w:val="24"/>
          <w:shd w:fill="FFFFFF" w:val="clear"/>
        </w:rPr>
        <w:t>). The exercise price per share of the Option will be determined by the Board of Directors or the Compensation Committee when the Option is granted. The Option will be subject to the terms and conditions applicable to options granted under the Company’s 2015 Stock Plan (the “</w:t>
      </w:r>
      <w:r>
        <w:rPr>
          <w:rFonts w:ascii="Times New Roman;sans-serif" w:hAnsi="Times New Roman;sans-serif"/>
          <w:b w:val="false"/>
          <w:color w:val="000000"/>
          <w:sz w:val="24"/>
          <w:u w:val="single"/>
          <w:shd w:fill="FFFFFF" w:val="clear"/>
        </w:rPr>
        <w:t>Plan</w:t>
      </w:r>
      <w:r>
        <w:rPr>
          <w:color w:val="000000"/>
          <w:shd w:fill="FFFFFF" w:val="clear"/>
        </w:rPr>
        <w:t>”</w:t>
      </w:r>
      <w:r>
        <w:rPr>
          <w:rFonts w:ascii="Times New Roman;sans-serif" w:hAnsi="Times New Roman;sans-serif"/>
          <w:b w:val="false"/>
          <w:color w:val="000000"/>
          <w:sz w:val="24"/>
          <w:shd w:fill="FFFFFF" w:val="clear"/>
        </w:rPr>
        <w:t>),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5. </w:t>
      </w:r>
      <w:r>
        <w:rPr>
          <w:rFonts w:ascii="Times New Roman;sans-serif" w:hAnsi="Times New Roman;sans-serif"/>
          <w:b/>
          <w:color w:val="000000"/>
          <w:sz w:val="24"/>
          <w:u w:val="single"/>
          <w:shd w:fill="FFFFFF" w:val="clear"/>
        </w:rPr>
        <w:t>Proprietary Information and Inventions Agreement</w:t>
      </w:r>
      <w:r>
        <w:rPr>
          <w:rFonts w:ascii="Times New Roman;sans-serif" w:hAnsi="Times New Roman;sans-serif"/>
          <w:b w:val="false"/>
          <w:color w:val="000000"/>
          <w:sz w:val="24"/>
          <w:shd w:fill="FFFFFF" w:val="clear"/>
        </w:rPr>
        <w:t xml:space="preserve">. Like all Company employees, you will be required, as a condition of your employment with the Company, to sign the Company’s standard Proprietary Information and Inventions Agreement (PIIA), a copy of which is attached hereto as Exhibit A. </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6. </w:t>
      </w:r>
      <w:r>
        <w:rPr>
          <w:rFonts w:ascii="Times New Roman;sans-serif" w:hAnsi="Times New Roman;sans-serif"/>
          <w:b/>
          <w:color w:val="000000"/>
          <w:sz w:val="24"/>
          <w:u w:val="single"/>
          <w:shd w:fill="FFFFFF" w:val="clear"/>
        </w:rPr>
        <w:t>Employment Relationship</w:t>
      </w:r>
      <w:r>
        <w:rPr>
          <w:rFonts w:ascii="Times New Roman;sans-serif" w:hAnsi="Times New Roman;sans-serif"/>
          <w:b w:val="false"/>
          <w:color w:val="000000"/>
          <w:sz w:val="24"/>
          <w:shd w:fill="FFFFFF" w:val="clear"/>
        </w:rPr>
        <w:t>. Employment with the Company is for no specific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7. </w:t>
      </w:r>
      <w:r>
        <w:rPr>
          <w:rFonts w:ascii="Times New Roman;sans-serif" w:hAnsi="Times New Roman;sans-serif"/>
          <w:b/>
          <w:color w:val="000000"/>
          <w:sz w:val="24"/>
          <w:u w:val="single"/>
          <w:shd w:fill="FFFFFF" w:val="clear"/>
        </w:rPr>
        <w:t>Outside Activities</w:t>
      </w:r>
      <w:r>
        <w:rPr>
          <w:rFonts w:ascii="Times New Roman;sans-serif" w:hAnsi="Times New Roman;sans-serif"/>
          <w:b w:val="false"/>
          <w:color w:val="000000"/>
          <w:sz w:val="24"/>
          <w:shd w:fill="FFFFFF" w:val="clear"/>
        </w:rPr>
        <w:t xml:space="preserve">. We ask that, if you have not already done so, you disclose to the Company, any and all agreements that may affect your eligibility to be employed by the Company or limit your ability to perform to your fullest potential all duties asked of you by the Company. It is the Company’s understanding that you are not currently bound by any such and you represent such is the case. Moreover, while you render services to the Company, you agree that you will not engage in any other employment, consulting or other business activity without the prior written consent of the Company. The purpose of this consent is to allow the Company to ensure that the outside employment does not create an actual or potential conflict of interest. While you render services to the Company, you also will not assist any person or entity in competing with the Company, in preparing to compete with the Company or in hiring any </w:t>
      </w:r>
    </w:p>
    <w:p>
      <w:pPr>
        <w:pStyle w:val="TextBody"/>
        <w:bidi w:val="0"/>
        <w:spacing w:lineRule="auto" w:line="319" w:before="0" w:after="0"/>
        <w:jc w:val="righ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Exhibit 10.15.1</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2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1.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1676400" cy="295275"/>
            <wp:effectExtent l="0" t="0" r="0" b="0"/>
            <wp:docPr id="13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 descr=""/>
                    <pic:cNvPicPr>
                      <a:picLocks noChangeAspect="1" noChangeArrowheads="1"/>
                    </pic:cNvPicPr>
                  </pic:nvPicPr>
                  <pic:blipFill>
                    <a:blip r:embed="rId69"/>
                    <a:stretch>
                      <a:fillRect/>
                    </a:stretch>
                  </pic:blipFill>
                  <pic:spPr bwMode="auto">
                    <a:xfrm>
                      <a:off x="0" y="0"/>
                      <a:ext cx="1676400" cy="295275"/>
                    </a:xfrm>
                    <a:prstGeom prst="rect">
                      <a:avLst/>
                    </a:prstGeom>
                  </pic:spPr>
                </pic:pic>
              </a:graphicData>
            </a:graphic>
          </wp:inline>
        </w:drawing>
      </w:r>
    </w:p>
    <w:p>
      <w:pPr>
        <w:pStyle w:val="TextBody"/>
        <w:bidi w:val="0"/>
        <w:spacing w:lineRule="auto" w:line="333" w:before="0" w:after="0"/>
        <w:jc w:val="right"/>
        <w:rPr>
          <w:shd w:fill="FFFFFF" w:val="clear"/>
        </w:rPr>
      </w:pPr>
      <w:r>
        <w:rPr>
          <w:color w:val="000000"/>
          <w:shd w:fill="FFFFFF" w:val="clear"/>
        </w:rPr>
        <w:t>                </w:t>
      </w:r>
      <w:r>
        <w:rPr>
          <w:rFonts w:ascii="Times New Roman;sans-serif" w:hAnsi="Times New Roman;sans-serif"/>
          <w:b w:val="false"/>
          <w:color w:val="000000"/>
          <w:sz w:val="14"/>
          <w:shd w:fill="FFFFFF" w:val="clear"/>
        </w:rPr>
        <w:t>111 E. 18</w:t>
      </w:r>
      <w:r>
        <w:rPr>
          <w:rFonts w:ascii="Times New Roman;sans-serif" w:hAnsi="Times New Roman;sans-serif"/>
          <w:b w:val="false"/>
          <w:color w:val="000000"/>
          <w:sz w:val="9"/>
          <w:shd w:fill="FFFFFF" w:val="clear"/>
        </w:rPr>
        <w:t>th</w:t>
      </w:r>
      <w:r>
        <w:rPr>
          <w:color w:val="000000"/>
          <w:shd w:fill="FFFFFF" w:val="clear"/>
        </w:rPr>
        <w:t xml:space="preserve"> </w:t>
      </w:r>
      <w:r>
        <w:rPr>
          <w:rFonts w:ascii="Times New Roman;sans-serif" w:hAnsi="Times New Roman;sans-serif"/>
          <w:b w:val="false"/>
          <w:color w:val="000000"/>
          <w:sz w:val="14"/>
          <w:shd w:fill="FFFFFF" w:val="clear"/>
        </w:rPr>
        <w:t>St. New York, NY 10003</w:t>
      </w:r>
    </w:p>
    <w:p>
      <w:pPr>
        <w:pStyle w:val="TextBody"/>
        <w:bidi w:val="0"/>
        <w:spacing w:lineRule="auto" w:line="333" w:before="0" w:after="0"/>
        <w:jc w:val="right"/>
        <w:rPr>
          <w:shd w:fill="FFFFFF" w:val="clear"/>
        </w:rPr>
      </w:pPr>
      <w:r>
        <w:rPr>
          <w:color w:val="000000"/>
          <w:shd w:fill="FFFFFF" w:val="clear"/>
        </w:rPr>
        <w:t xml:space="preserve">                                     </w:t>
      </w:r>
      <w:r>
        <w:rPr>
          <w:rFonts w:ascii="Times New Roman;sans-serif" w:hAnsi="Times New Roman;sans-serif"/>
          <w:b w:val="false"/>
          <w:color w:val="000000"/>
          <w:sz w:val="12"/>
          <w:shd w:fill="FFFFFF" w:val="clear"/>
        </w:rPr>
        <w:t>Tel</w:t>
      </w:r>
      <w:r>
        <w:rPr>
          <w:color w:val="000000"/>
          <w:shd w:fill="FFFFFF" w:val="clear"/>
        </w:rPr>
        <w:t xml:space="preserve"> </w:t>
      </w:r>
      <w:r>
        <w:rPr>
          <w:rFonts w:ascii="Times New Roman;sans-serif" w:hAnsi="Times New Roman;sans-serif"/>
          <w:b w:val="false"/>
          <w:color w:val="000000"/>
          <w:sz w:val="14"/>
          <w:shd w:fill="FFFFFF" w:val="clear"/>
        </w:rPr>
        <w:t xml:space="preserve">(212) 431 7464 </w:t>
      </w:r>
      <w:r>
        <w:rPr>
          <w:rFonts w:ascii="Times New Roman;sans-serif" w:hAnsi="Times New Roman;sans-serif"/>
          <w:b w:val="false"/>
          <w:color w:val="000000"/>
          <w:sz w:val="12"/>
          <w:shd w:fill="FFFFFF" w:val="clear"/>
        </w:rPr>
        <w:t>Fax</w:t>
      </w:r>
      <w:r>
        <w:rPr>
          <w:color w:val="000000"/>
          <w:shd w:fill="FFFFFF" w:val="clear"/>
        </w:rPr>
        <w:t xml:space="preserve"> </w:t>
      </w:r>
      <w:r>
        <w:rPr>
          <w:rFonts w:ascii="Times New Roman;sans-serif" w:hAnsi="Times New Roman;sans-serif"/>
          <w:b w:val="false"/>
          <w:color w:val="000000"/>
          <w:sz w:val="14"/>
          <w:shd w:fill="FFFFFF" w:val="clear"/>
        </w:rPr>
        <w:t xml:space="preserve">(212) 431 7461 </w:t>
      </w:r>
      <w:r>
        <w:rPr>
          <w:rFonts w:ascii="Times New Roman;sans-serif" w:hAnsi="Times New Roman;sans-serif"/>
          <w:b w:val="false"/>
          <w:color w:val="EE3322"/>
          <w:sz w:val="14"/>
          <w:shd w:fill="FFFFFF" w:val="clear"/>
        </w:rPr>
        <w:t>buzzfeed.com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20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employees or consultants of the Company. Similarly, you agree not to bring any third-party confidential information to the Company, including that of your former employer, and you will not in any way utilize any such information in performing your duties for the Company. </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8.     </w:t>
      </w:r>
      <w:r>
        <w:rPr>
          <w:rFonts w:ascii="Times New Roman;sans-serif" w:hAnsi="Times New Roman;sans-serif"/>
          <w:b/>
          <w:color w:val="000000"/>
          <w:sz w:val="24"/>
          <w:u w:val="single"/>
          <w:shd w:fill="FFFFFF" w:val="clear"/>
        </w:rPr>
        <w:t>Company Policies</w:t>
      </w:r>
      <w:r>
        <w:rPr>
          <w:rFonts w:ascii="Times New Roman;sans-serif" w:hAnsi="Times New Roman;sans-serif"/>
          <w:b w:val="false"/>
          <w:color w:val="000000"/>
          <w:sz w:val="24"/>
          <w:shd w:fill="FFFFFF" w:val="clear"/>
        </w:rPr>
        <w:t xml:space="preserve">. You understand that by accepting employment with the Company you will be expected to conduct yourself in a professional manner and in accordance with the Company’s policies at all times. Such policies include, but are not limited to, the Company’s Anti-Harassment policy, Guidelines for Inappropriate Conduct policy, Code of Conduct, and policies contained in the Company’s Employee Handbook. These policies will be provided at the start of your employment and are also available on the Company’s Intranet. You are also required, as a condition of your employment with the Company, to sign the Company’s standard Conflict of Interest Policy, a copy of which is attached hereto as Exhibit B. </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9. </w:t>
      </w:r>
      <w:r>
        <w:rPr>
          <w:rFonts w:ascii="Times New Roman;sans-serif" w:hAnsi="Times New Roman;sans-serif"/>
          <w:b/>
          <w:color w:val="000000"/>
          <w:sz w:val="24"/>
          <w:u w:val="single"/>
          <w:shd w:fill="FFFFFF" w:val="clear"/>
        </w:rPr>
        <w:t>Withholding Taxes</w:t>
      </w:r>
      <w:r>
        <w:rPr>
          <w:rFonts w:ascii="Times New Roman;sans-serif" w:hAnsi="Times New Roman;sans-serif"/>
          <w:b w:val="false"/>
          <w:color w:val="000000"/>
          <w:sz w:val="24"/>
          <w:shd w:fill="FFFFFF" w:val="clear"/>
        </w:rPr>
        <w:t>. All forms of compensation referred to in this letter agreement are subject to reduction to reflect applicable withholding and payroll taxes and other deductions required by law or authorized by you for your participation in employee benefit programs.</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10. </w:t>
      </w:r>
      <w:r>
        <w:rPr>
          <w:rFonts w:ascii="Times New Roman;sans-serif" w:hAnsi="Times New Roman;sans-serif"/>
          <w:b/>
          <w:color w:val="000000"/>
          <w:sz w:val="24"/>
          <w:u w:val="single"/>
          <w:shd w:fill="FFFFFF" w:val="clear"/>
        </w:rPr>
        <w:t>Arbitration</w:t>
      </w:r>
      <w:r>
        <w:rPr>
          <w:rFonts w:ascii="Times New Roman;sans-serif" w:hAnsi="Times New Roman;sans-serif"/>
          <w:b w:val="false"/>
          <w:color w:val="000000"/>
          <w:sz w:val="24"/>
          <w:shd w:fill="FFFFFF" w:val="clear"/>
        </w:rPr>
        <w:t xml:space="preserve">. In the event of any dispute or claim relating to or arising out of our employment relationship, both you and the Company agree to submit such claim to binding arbitration under the auspices of the American Arbitration Association in accordance with its then current Employment Arbitration Rules and mediation procedures (a printed copy of which may be obtained from Human Resources at any time, or which may be viewed online at www.adr.org). Arbitration shall be conducted in the State and County where you rendered services for the Company. The Company and you hereby agree that a judgment upon an award rendered by the arbitrator may be entered in any court having jurisdiction over the parties. The Company shall pay all costs uniquely attributable to arbitration, including the administrative fees and costs of the arbitrator. Otherwise, each party shall pay that party’s own costs and attorney fees, if any, unless the arbitrator rules otherwise based on applicable law. The arbitrator shall apply the same standards a court would apply to award any damages, attorney fees or costs allowed by law. This arbitration provision includes all contractual, common-law and statutory claims, including all claims that the Company may have against you, as well as all claims that you may have against the Company (including the Company’s affiliates, officers, directors and employees). Excluded from this mandatory arbitration provision are: (i) claims within the jurisdictional limitation of small claims courts of the state where the claim is submitted for resolution; (ii) claims for workers’ compensation benefits; (iii) claims for unemployment insurance compensation benefits; (iv) sexual harassment claims and (v) to the extent required by law, administrative claims or charges before applicable federal and state administrative agencies (such as California’s Department of Fair Employment and Housing, the Equal Employment </w:t>
      </w:r>
    </w:p>
    <w:p>
      <w:pPr>
        <w:pStyle w:val="TextBody"/>
        <w:bidi w:val="0"/>
        <w:spacing w:lineRule="auto" w:line="319" w:before="0" w:after="0"/>
        <w:jc w:val="righ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Exhibit 10.15.1</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31"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1.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1676400" cy="295275"/>
            <wp:effectExtent l="0" t="0" r="0" b="0"/>
            <wp:docPr id="13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 descr=""/>
                    <pic:cNvPicPr>
                      <a:picLocks noChangeAspect="1" noChangeArrowheads="1"/>
                    </pic:cNvPicPr>
                  </pic:nvPicPr>
                  <pic:blipFill>
                    <a:blip r:embed="rId70"/>
                    <a:stretch>
                      <a:fillRect/>
                    </a:stretch>
                  </pic:blipFill>
                  <pic:spPr bwMode="auto">
                    <a:xfrm>
                      <a:off x="0" y="0"/>
                      <a:ext cx="1676400" cy="295275"/>
                    </a:xfrm>
                    <a:prstGeom prst="rect">
                      <a:avLst/>
                    </a:prstGeom>
                  </pic:spPr>
                </pic:pic>
              </a:graphicData>
            </a:graphic>
          </wp:inline>
        </w:drawing>
      </w:r>
    </w:p>
    <w:p>
      <w:pPr>
        <w:pStyle w:val="TextBody"/>
        <w:bidi w:val="0"/>
        <w:spacing w:lineRule="auto" w:line="333" w:before="0" w:after="0"/>
        <w:jc w:val="right"/>
        <w:rPr>
          <w:shd w:fill="FFFFFF" w:val="clear"/>
        </w:rPr>
      </w:pPr>
      <w:r>
        <w:rPr>
          <w:color w:val="000000"/>
          <w:shd w:fill="FFFFFF" w:val="clear"/>
        </w:rPr>
        <w:t>                </w:t>
      </w:r>
      <w:r>
        <w:rPr>
          <w:rFonts w:ascii="Times New Roman;sans-serif" w:hAnsi="Times New Roman;sans-serif"/>
          <w:b w:val="false"/>
          <w:color w:val="000000"/>
          <w:sz w:val="14"/>
          <w:shd w:fill="FFFFFF" w:val="clear"/>
        </w:rPr>
        <w:t>111 E. 18</w:t>
      </w:r>
      <w:r>
        <w:rPr>
          <w:rFonts w:ascii="Times New Roman;sans-serif" w:hAnsi="Times New Roman;sans-serif"/>
          <w:b w:val="false"/>
          <w:color w:val="000000"/>
          <w:sz w:val="9"/>
          <w:shd w:fill="FFFFFF" w:val="clear"/>
        </w:rPr>
        <w:t>th</w:t>
      </w:r>
      <w:r>
        <w:rPr>
          <w:color w:val="000000"/>
          <w:shd w:fill="FFFFFF" w:val="clear"/>
        </w:rPr>
        <w:t xml:space="preserve"> </w:t>
      </w:r>
      <w:r>
        <w:rPr>
          <w:rFonts w:ascii="Times New Roman;sans-serif" w:hAnsi="Times New Roman;sans-serif"/>
          <w:b w:val="false"/>
          <w:color w:val="000000"/>
          <w:sz w:val="14"/>
          <w:shd w:fill="FFFFFF" w:val="clear"/>
        </w:rPr>
        <w:t>St. New York, NY 10003</w:t>
      </w:r>
    </w:p>
    <w:p>
      <w:pPr>
        <w:pStyle w:val="TextBody"/>
        <w:bidi w:val="0"/>
        <w:spacing w:lineRule="auto" w:line="333" w:before="0" w:after="0"/>
        <w:jc w:val="right"/>
        <w:rPr>
          <w:shd w:fill="FFFFFF" w:val="clear"/>
        </w:rPr>
      </w:pPr>
      <w:r>
        <w:rPr>
          <w:color w:val="000000"/>
          <w:shd w:fill="FFFFFF" w:val="clear"/>
        </w:rPr>
        <w:t xml:space="preserve">                                     </w:t>
      </w:r>
      <w:r>
        <w:rPr>
          <w:rFonts w:ascii="Times New Roman;sans-serif" w:hAnsi="Times New Roman;sans-serif"/>
          <w:b w:val="false"/>
          <w:color w:val="000000"/>
          <w:sz w:val="12"/>
          <w:shd w:fill="FFFFFF" w:val="clear"/>
        </w:rPr>
        <w:t>Tel</w:t>
      </w:r>
      <w:r>
        <w:rPr>
          <w:color w:val="000000"/>
          <w:shd w:fill="FFFFFF" w:val="clear"/>
        </w:rPr>
        <w:t xml:space="preserve"> </w:t>
      </w:r>
      <w:r>
        <w:rPr>
          <w:rFonts w:ascii="Times New Roman;sans-serif" w:hAnsi="Times New Roman;sans-serif"/>
          <w:b w:val="false"/>
          <w:color w:val="000000"/>
          <w:sz w:val="14"/>
          <w:shd w:fill="FFFFFF" w:val="clear"/>
        </w:rPr>
        <w:t xml:space="preserve">(212) 431 7464 </w:t>
      </w:r>
      <w:r>
        <w:rPr>
          <w:rFonts w:ascii="Times New Roman;sans-serif" w:hAnsi="Times New Roman;sans-serif"/>
          <w:b w:val="false"/>
          <w:color w:val="000000"/>
          <w:sz w:val="12"/>
          <w:shd w:fill="FFFFFF" w:val="clear"/>
        </w:rPr>
        <w:t>Fax</w:t>
      </w:r>
      <w:r>
        <w:rPr>
          <w:color w:val="000000"/>
          <w:shd w:fill="FFFFFF" w:val="clear"/>
        </w:rPr>
        <w:t xml:space="preserve"> </w:t>
      </w:r>
      <w:r>
        <w:rPr>
          <w:rFonts w:ascii="Times New Roman;sans-serif" w:hAnsi="Times New Roman;sans-serif"/>
          <w:b w:val="false"/>
          <w:color w:val="000000"/>
          <w:sz w:val="14"/>
          <w:shd w:fill="FFFFFF" w:val="clear"/>
        </w:rPr>
        <w:t xml:space="preserve">(212) 431 7461 </w:t>
      </w:r>
      <w:r>
        <w:rPr>
          <w:rFonts w:ascii="Times New Roman;sans-serif" w:hAnsi="Times New Roman;sans-serif"/>
          <w:b w:val="false"/>
          <w:color w:val="EE3322"/>
          <w:sz w:val="14"/>
          <w:shd w:fill="FFFFFF" w:val="clear"/>
        </w:rPr>
        <w:t>buzzfeed.com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20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Opportunity Commission or, and any unfair labor charge which is to be brought under the National Labor Relations Act). Further, the parties agree that claims must be brought in each party’s personal capacity and not as a representative in any class proceeding. THE PARTIES UNDERSTAND AND AGREE THAT THEY ARE WAIVING THEIR RIGHTS TO SUBMIT DISPUTES TO COURT FOR RESOLUTION.</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11. </w:t>
      </w:r>
      <w:r>
        <w:rPr>
          <w:rFonts w:ascii="Times New Roman;sans-serif" w:hAnsi="Times New Roman;sans-serif"/>
          <w:b/>
          <w:color w:val="000000"/>
          <w:sz w:val="24"/>
          <w:u w:val="single"/>
          <w:shd w:fill="FFFFFF" w:val="clear"/>
        </w:rPr>
        <w:t>Entire Agreement</w:t>
      </w:r>
      <w:r>
        <w:rPr>
          <w:rFonts w:ascii="Times New Roman;sans-serif" w:hAnsi="Times New Roman;sans-serif"/>
          <w:b w:val="false"/>
          <w:color w:val="000000"/>
          <w:sz w:val="24"/>
          <w:shd w:fill="FFFFFF" w:val="clear"/>
        </w:rPr>
        <w:t xml:space="preserve">. This letter agreement, the PIIA and Conflict of Interest Policy 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provided that if any part of the letter agreement is deemed unenforceable, the offending provision or part thereof shall be deemed severed or reformed so as to make the balance of this agreement enforceable. </w:t>
      </w:r>
    </w:p>
    <w:p>
      <w:pPr>
        <w:pStyle w:val="TextBody"/>
        <w:bidi w:val="0"/>
        <w:spacing w:lineRule="auto" w:line="319"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 * *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319" w:before="0" w:after="0"/>
        <w:jc w:val="right"/>
        <w:rPr>
          <w:rFonts w:ascii="Times New Roman;sans-serif" w:hAnsi="Times New Roman;sans-serif"/>
          <w:b/>
          <w:i/>
          <w:color w:val="000000"/>
          <w:sz w:val="22"/>
          <w:shd w:fill="FFFFFF" w:val="clear"/>
        </w:rPr>
      </w:pPr>
      <w:r>
        <w:rPr>
          <w:rFonts w:ascii="Times New Roman;sans-serif" w:hAnsi="Times New Roman;sans-serif"/>
          <w:b/>
          <w:i/>
          <w:color w:val="000000"/>
          <w:sz w:val="22"/>
          <w:shd w:fill="FFFFFF" w:val="clear"/>
        </w:rPr>
        <w:t>Exhibit 10.15.1</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33"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1.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1676400" cy="295275"/>
            <wp:effectExtent l="0" t="0" r="0" b="0"/>
            <wp:docPr id="13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 descr=""/>
                    <pic:cNvPicPr>
                      <a:picLocks noChangeAspect="1" noChangeArrowheads="1"/>
                    </pic:cNvPicPr>
                  </pic:nvPicPr>
                  <pic:blipFill>
                    <a:blip r:embed="rId71"/>
                    <a:stretch>
                      <a:fillRect/>
                    </a:stretch>
                  </pic:blipFill>
                  <pic:spPr bwMode="auto">
                    <a:xfrm>
                      <a:off x="0" y="0"/>
                      <a:ext cx="1676400" cy="295275"/>
                    </a:xfrm>
                    <a:prstGeom prst="rect">
                      <a:avLst/>
                    </a:prstGeom>
                  </pic:spPr>
                </pic:pic>
              </a:graphicData>
            </a:graphic>
          </wp:inline>
        </w:drawing>
      </w:r>
    </w:p>
    <w:p>
      <w:pPr>
        <w:pStyle w:val="TextBody"/>
        <w:bidi w:val="0"/>
        <w:spacing w:lineRule="auto" w:line="333" w:before="0" w:after="0"/>
        <w:jc w:val="right"/>
        <w:rPr>
          <w:shd w:fill="FFFFFF" w:val="clear"/>
        </w:rPr>
      </w:pPr>
      <w:r>
        <w:rPr>
          <w:color w:val="000000"/>
          <w:shd w:fill="FFFFFF" w:val="clear"/>
        </w:rPr>
        <w:t>                </w:t>
      </w:r>
      <w:r>
        <w:rPr>
          <w:rFonts w:ascii="Times New Roman;sans-serif" w:hAnsi="Times New Roman;sans-serif"/>
          <w:b w:val="false"/>
          <w:color w:val="000000"/>
          <w:sz w:val="14"/>
          <w:shd w:fill="FFFFFF" w:val="clear"/>
        </w:rPr>
        <w:t>111 E. 18</w:t>
      </w:r>
      <w:r>
        <w:rPr>
          <w:rFonts w:ascii="Times New Roman;sans-serif" w:hAnsi="Times New Roman;sans-serif"/>
          <w:b w:val="false"/>
          <w:color w:val="000000"/>
          <w:sz w:val="9"/>
          <w:shd w:fill="FFFFFF" w:val="clear"/>
        </w:rPr>
        <w:t>th</w:t>
      </w:r>
      <w:r>
        <w:rPr>
          <w:color w:val="000000"/>
          <w:shd w:fill="FFFFFF" w:val="clear"/>
        </w:rPr>
        <w:t xml:space="preserve"> </w:t>
      </w:r>
      <w:r>
        <w:rPr>
          <w:rFonts w:ascii="Times New Roman;sans-serif" w:hAnsi="Times New Roman;sans-serif"/>
          <w:b w:val="false"/>
          <w:color w:val="000000"/>
          <w:sz w:val="14"/>
          <w:shd w:fill="FFFFFF" w:val="clear"/>
        </w:rPr>
        <w:t>St. New York, NY 10003</w:t>
      </w:r>
    </w:p>
    <w:p>
      <w:pPr>
        <w:pStyle w:val="TextBody"/>
        <w:bidi w:val="0"/>
        <w:spacing w:lineRule="auto" w:line="333" w:before="0" w:after="0"/>
        <w:jc w:val="right"/>
        <w:rPr>
          <w:shd w:fill="FFFFFF" w:val="clear"/>
        </w:rPr>
      </w:pPr>
      <w:r>
        <w:rPr>
          <w:color w:val="000000"/>
          <w:shd w:fill="FFFFFF" w:val="clear"/>
        </w:rPr>
        <w:t xml:space="preserve">                                     </w:t>
      </w:r>
      <w:r>
        <w:rPr>
          <w:rFonts w:ascii="Times New Roman;sans-serif" w:hAnsi="Times New Roman;sans-serif"/>
          <w:b w:val="false"/>
          <w:color w:val="000000"/>
          <w:sz w:val="12"/>
          <w:shd w:fill="FFFFFF" w:val="clear"/>
        </w:rPr>
        <w:t>Tel</w:t>
      </w:r>
      <w:r>
        <w:rPr>
          <w:color w:val="000000"/>
          <w:shd w:fill="FFFFFF" w:val="clear"/>
        </w:rPr>
        <w:t xml:space="preserve"> </w:t>
      </w:r>
      <w:r>
        <w:rPr>
          <w:rFonts w:ascii="Times New Roman;sans-serif" w:hAnsi="Times New Roman;sans-serif"/>
          <w:b w:val="false"/>
          <w:color w:val="000000"/>
          <w:sz w:val="14"/>
          <w:shd w:fill="FFFFFF" w:val="clear"/>
        </w:rPr>
        <w:t xml:space="preserve">(212) 431 7464 </w:t>
      </w:r>
      <w:r>
        <w:rPr>
          <w:rFonts w:ascii="Times New Roman;sans-serif" w:hAnsi="Times New Roman;sans-serif"/>
          <w:b w:val="false"/>
          <w:color w:val="000000"/>
          <w:sz w:val="12"/>
          <w:shd w:fill="FFFFFF" w:val="clear"/>
        </w:rPr>
        <w:t>Fax</w:t>
      </w:r>
      <w:r>
        <w:rPr>
          <w:color w:val="000000"/>
          <w:shd w:fill="FFFFFF" w:val="clear"/>
        </w:rPr>
        <w:t xml:space="preserve"> </w:t>
      </w:r>
      <w:r>
        <w:rPr>
          <w:rFonts w:ascii="Times New Roman;sans-serif" w:hAnsi="Times New Roman;sans-serif"/>
          <w:b w:val="false"/>
          <w:color w:val="000000"/>
          <w:sz w:val="14"/>
          <w:shd w:fill="FFFFFF" w:val="clear"/>
        </w:rPr>
        <w:t xml:space="preserve">(212) 431 7461 </w:t>
      </w:r>
      <w:r>
        <w:rPr>
          <w:rFonts w:ascii="Times New Roman;sans-serif" w:hAnsi="Times New Roman;sans-serif"/>
          <w:b w:val="false"/>
          <w:color w:val="EE3322"/>
          <w:sz w:val="14"/>
          <w:shd w:fill="FFFFFF" w:val="clear"/>
        </w:rPr>
        <w:t>buzzfeed.com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We hope that you will accept our offer to join the Company. You may indicate your agreement with these terms and accept this offer by signing this Agreement, the PIIA and Conflict of Interest Policy. This offer expires on July 12, 2019. As required by law, your employment with the Company is contingent upon your providing legal proof of your identity and authorization to work in the United States. Employment is also contingent on satisfactory completion of a background check, as well as upon your starting work with the Company on July 29, 2019 or as otherwise agreed upon in writing by you and the Company.</w:t>
      </w:r>
    </w:p>
    <w:p>
      <w:pPr>
        <w:pStyle w:val="TextBody"/>
        <w:bidi w:val="0"/>
        <w:spacing w:lineRule="auto" w:line="319"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If you have any questions, please do not hesitate to contact me.</w:t>
      </w:r>
    </w:p>
    <w:p>
      <w:pPr>
        <w:pStyle w:val="TextBody"/>
        <w:bidi w:val="0"/>
        <w:spacing w:lineRule="auto" w:line="319"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Very truly yours,</w:t>
      </w:r>
    </w:p>
    <w:p>
      <w:pPr>
        <w:pStyle w:val="TextBody"/>
        <w:bidi w:val="0"/>
        <w:spacing w:lineRule="auto" w:line="319"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BuzzFeed, Inc.</w:t>
      </w:r>
    </w:p>
    <w:p>
      <w:pPr>
        <w:pStyle w:val="TextBody"/>
        <w:bidi w:val="0"/>
        <w:spacing w:lineRule="auto" w:line="319"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By: _______________________</w:t>
      </w:r>
    </w:p>
    <w:p>
      <w:pPr>
        <w:pStyle w:val="TextBody"/>
        <w:bidi w:val="0"/>
        <w:spacing w:lineRule="auto" w:line="319"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Title: ______________________</w:t>
      </w:r>
    </w:p>
    <w:p>
      <w:pPr>
        <w:pStyle w:val="TextBody"/>
        <w:bidi w:val="0"/>
        <w:spacing w:lineRule="auto" w:line="319"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have read and accept this employment offer:</w:t>
      </w:r>
    </w:p>
    <w:p>
      <w:pPr>
        <w:pStyle w:val="TextBody"/>
        <w:bidi w:val="0"/>
        <w:spacing w:lineRule="auto" w:line="319" w:before="0" w:after="0"/>
        <w:jc w:val="left"/>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{{CANDIDATE_SIGNATURE}}</w:t>
      </w:r>
    </w:p>
    <w:p>
      <w:pPr>
        <w:pStyle w:val="TextBody"/>
        <w:bidi w:val="0"/>
        <w:spacing w:lineRule="auto" w:line="319" w:before="0" w:after="960"/>
        <w:jc w:val="both"/>
        <w:rPr>
          <w:shd w:fill="FFFFFF" w:val="clear"/>
        </w:rPr>
      </w:pPr>
      <w:r>
        <w:rPr>
          <w:rFonts w:ascii="Times New Roman;sans-serif" w:hAnsi="Times New Roman;sans-serif"/>
          <w:b w:val="false"/>
          <w:color w:val="000000"/>
          <w:sz w:val="24"/>
          <w:shd w:fill="FFFFFF" w:val="clear"/>
        </w:rPr>
        <w:t xml:space="preserve">Dated: </w:t>
      </w:r>
      <w:r>
        <w:rPr>
          <w:rFonts w:ascii="Times New Roman;sans-serif" w:hAnsi="Times New Roman;sans-serif"/>
          <w:b w:val="false"/>
          <w:color w:val="000000"/>
          <w:sz w:val="24"/>
          <w:u w:val="single"/>
          <w:shd w:fill="FFFFFF" w:val="clear"/>
        </w:rPr>
        <w:t>{{CANDIDATE_SIGNATURE_DATE}}</w:t>
      </w:r>
    </w:p>
    <w:p>
      <w:pPr>
        <w:pStyle w:val="TextBody"/>
        <w:bidi w:val="0"/>
        <w:spacing w:lineRule="auto" w:line="319" w:before="0" w:after="1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Attachments</w:t>
      </w:r>
    </w:p>
    <w:p>
      <w:pPr>
        <w:pStyle w:val="TextBody"/>
        <w:bidi w:val="0"/>
        <w:spacing w:lineRule="auto" w:line="319" w:before="6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Exhibit A: Proprietary Information and Inventions Agreement</w:t>
      </w:r>
    </w:p>
    <w:p>
      <w:pPr>
        <w:pStyle w:val="TextBody"/>
        <w:bidi w:val="0"/>
        <w:spacing w:lineRule="auto" w:line="319" w:before="6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Exhibit B: Conflict of Interest Policy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i/>
          <w:color w:val="000000"/>
          <w:sz w:val="20"/>
        </w:rPr>
      </w:pPr>
      <w:r>
        <w:rPr>
          <w:rFonts w:ascii="Times New Roman;sans-serif" w:hAnsi="Times New Roman;sans-serif"/>
          <w:b/>
          <w:i/>
          <w:color w:val="000000"/>
          <w:sz w:val="20"/>
        </w:rPr>
        <w:t>Exhibit 10.15.2</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35"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172200" cy="552450"/>
            <wp:effectExtent l="0" t="0" r="0" b="0"/>
            <wp:docPr id="13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7" descr=""/>
                    <pic:cNvPicPr>
                      <a:picLocks noChangeAspect="1" noChangeArrowheads="1"/>
                    </pic:cNvPicPr>
                  </pic:nvPicPr>
                  <pic:blipFill>
                    <a:blip r:embed="rId72"/>
                    <a:stretch>
                      <a:fillRect/>
                    </a:stretch>
                  </pic:blipFill>
                  <pic:spPr bwMode="auto">
                    <a:xfrm>
                      <a:off x="0" y="0"/>
                      <a:ext cx="6172200" cy="5524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David Arroyo</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11/9/2022</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Dear David,</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Congratulations! We are pleased to inform you that you will be promoted effective January 1, 2023. Please review the following changes:</w:t>
      </w:r>
    </w:p>
    <w:p>
      <w:pPr>
        <w:pStyle w:val="TextBody"/>
        <w:bidi w:val="0"/>
        <w:spacing w:before="0" w:after="0"/>
        <w:jc w:val="left"/>
        <w:rPr/>
      </w:pPr>
      <w:r>
        <w:rPr/>
      </w:r>
    </w:p>
    <w:tbl>
      <w:tblPr>
        <w:tblW w:w="9690" w:type="dxa"/>
        <w:jc w:val="left"/>
        <w:tblInd w:w="0" w:type="dxa"/>
        <w:tblLayout w:type="fixed"/>
        <w:tblCellMar>
          <w:top w:w="28" w:type="dxa"/>
          <w:left w:w="28" w:type="dxa"/>
          <w:bottom w:w="28" w:type="dxa"/>
          <w:right w:w="28" w:type="dxa"/>
        </w:tblCellMar>
      </w:tblPr>
      <w:tblGrid>
        <w:gridCol w:w="495"/>
        <w:gridCol w:w="433"/>
        <w:gridCol w:w="437"/>
        <w:gridCol w:w="1019"/>
        <w:gridCol w:w="1019"/>
        <w:gridCol w:w="1022"/>
        <w:gridCol w:w="1537"/>
        <w:gridCol w:w="1537"/>
        <w:gridCol w:w="2191"/>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op w:val="dotted" w:sz="8" w:space="0" w:color="FFFFFF"/>
              <w:left w:val="dotted"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left w:val="single" w:sz="8" w:space="0" w:color="000000"/>
            </w:tcBorders>
            <w:shd w:fill="EFEFEF" w:val="clear"/>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Current Details</w:t>
            </w:r>
          </w:p>
        </w:tc>
        <w:tc>
          <w:tcPr>
            <w:tcW w:w="5265" w:type="dxa"/>
            <w:gridSpan w:val="3"/>
            <w:tcBorders>
              <w:top w:val="single" w:sz="8" w:space="0" w:color="000000"/>
              <w:left w:val="single" w:sz="8" w:space="0" w:color="000000"/>
              <w:right w:val="single" w:sz="8" w:space="0" w:color="000000"/>
            </w:tcBorders>
            <w:shd w:fill="EFEFEF" w:val="clear"/>
            <w:tcMar>
              <w:top w:w="30" w:type="dxa"/>
              <w:left w:w="67" w:type="dxa"/>
              <w:bottom w:w="0" w:type="dxa"/>
            </w:tcMar>
            <w:vAlign w:val="center"/>
          </w:tcPr>
          <w:p>
            <w:pPr>
              <w:pStyle w:val="TableContents"/>
              <w:bidi w:val="0"/>
              <w:spacing w:lineRule="auto" w:line="319" w:before="0" w:after="283"/>
              <w:jc w:val="left"/>
              <w:rPr>
                <w:rFonts w:ascii="Arial;sans-serif" w:hAnsi="Arial;sans-serif"/>
                <w:b/>
                <w:i/>
                <w:color w:val="000000"/>
                <w:sz w:val="20"/>
              </w:rPr>
            </w:pPr>
            <w:r>
              <w:rPr>
                <w:rFonts w:ascii="Arial;sans-serif" w:hAnsi="Arial;sans-serif"/>
                <w:b/>
                <w:i/>
                <w:color w:val="000000"/>
                <w:sz w:val="20"/>
              </w:rPr>
              <w:t>New Details</w:t>
            </w:r>
          </w:p>
        </w:tc>
      </w:tr>
      <w:tr>
        <w:trPr/>
        <w:tc>
          <w:tcPr>
            <w:tcW w:w="1365" w:type="dxa"/>
            <w:gridSpan w:val="3"/>
            <w:tcBorders>
              <w:top w:val="dotted"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Base Pay</w:t>
            </w:r>
          </w:p>
        </w:tc>
        <w:tc>
          <w:tcPr>
            <w:tcW w:w="3060" w:type="dxa"/>
            <w:gridSpan w:val="3"/>
            <w:tcBorders>
              <w:top w:val="single"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$315,000.00 USD annually</w:t>
            </w:r>
          </w:p>
        </w:tc>
        <w:tc>
          <w:tcPr>
            <w:tcW w:w="5265" w:type="dxa"/>
            <w:gridSpan w:val="3"/>
            <w:tcBorders>
              <w:top w:val="single" w:sz="8" w:space="0" w:color="000000"/>
              <w:left w:val="dotted" w:sz="8" w:space="0" w:color="000000"/>
              <w:right w:val="dotted" w:sz="8" w:space="0" w:color="000000"/>
            </w:tcBorders>
            <w:tcMar>
              <w:top w:w="30" w:type="dxa"/>
              <w:left w:w="67" w:type="dxa"/>
              <w:bottom w:w="0" w:type="dxa"/>
            </w:tcMar>
            <w:vAlign w:val="center"/>
          </w:tcPr>
          <w:p>
            <w:pPr>
              <w:pStyle w:val="TableContents"/>
              <w:bidi w:val="0"/>
              <w:spacing w:lineRule="auto" w:line="319" w:before="0" w:after="283"/>
              <w:jc w:val="left"/>
              <w:rPr>
                <w:rFonts w:ascii="Arial;sans-serif" w:hAnsi="Arial;sans-serif"/>
                <w:b/>
                <w:i/>
                <w:color w:val="000000"/>
                <w:sz w:val="20"/>
              </w:rPr>
            </w:pPr>
            <w:r>
              <w:rPr>
                <w:rFonts w:ascii="Arial;sans-serif" w:hAnsi="Arial;sans-serif"/>
                <w:b/>
                <w:i/>
                <w:color w:val="000000"/>
                <w:sz w:val="20"/>
              </w:rPr>
              <w:t>$375,000.00 USD annually</w:t>
            </w:r>
          </w:p>
        </w:tc>
      </w:tr>
      <w:tr>
        <w:trPr/>
        <w:tc>
          <w:tcPr>
            <w:tcW w:w="1365" w:type="dxa"/>
            <w:gridSpan w:val="3"/>
            <w:tcBorders>
              <w:top w:val="dotted"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Business Title</w:t>
            </w:r>
          </w:p>
        </w:tc>
        <w:tc>
          <w:tcPr>
            <w:tcW w:w="3060" w:type="dxa"/>
            <w:gridSpan w:val="3"/>
            <w:tcBorders>
              <w:top w:val="dotted" w:sz="8" w:space="0" w:color="000000"/>
              <w:left w:val="dotted"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SVP, Chief Compliance Officer &amp;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Head of Litigation</w:t>
            </w:r>
          </w:p>
        </w:tc>
        <w:tc>
          <w:tcPr>
            <w:tcW w:w="5265" w:type="dxa"/>
            <w:gridSpan w:val="3"/>
            <w:tcBorders>
              <w:top w:val="dotted" w:sz="8" w:space="0" w:color="000000"/>
              <w:left w:val="dotted" w:sz="8" w:space="0" w:color="000000"/>
              <w:right w:val="dotted" w:sz="8" w:space="0" w:color="000000"/>
            </w:tcBorders>
            <w:tcMar>
              <w:top w:w="30" w:type="dxa"/>
              <w:left w:w="67" w:type="dxa"/>
              <w:bottom w:w="0" w:type="dxa"/>
            </w:tcMar>
            <w:vAlign w:val="center"/>
          </w:tcPr>
          <w:p>
            <w:pPr>
              <w:pStyle w:val="TableContents"/>
              <w:bidi w:val="0"/>
              <w:spacing w:lineRule="auto" w:line="319" w:before="0" w:after="283"/>
              <w:jc w:val="left"/>
              <w:rPr>
                <w:rFonts w:ascii="Arial;sans-serif" w:hAnsi="Arial;sans-serif"/>
                <w:b/>
                <w:i/>
                <w:color w:val="000000"/>
                <w:sz w:val="20"/>
              </w:rPr>
            </w:pPr>
            <w:r>
              <w:rPr>
                <w:rFonts w:ascii="Arial;sans-serif" w:hAnsi="Arial;sans-serif"/>
                <w:b/>
                <w:i/>
                <w:color w:val="000000"/>
                <w:sz w:val="20"/>
              </w:rPr>
              <w:t>Chief Legal &amp; Compliance Officer | Corporate Secretary</w:t>
            </w:r>
          </w:p>
        </w:tc>
      </w:tr>
      <w:tr>
        <w:trPr/>
        <w:tc>
          <w:tcPr>
            <w:tcW w:w="1365" w:type="dxa"/>
            <w:gridSpan w:val="3"/>
            <w:tcBorders>
              <w:top w:val="dotted"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Level</w:t>
            </w:r>
          </w:p>
        </w:tc>
        <w:tc>
          <w:tcPr>
            <w:tcW w:w="3060" w:type="dxa"/>
            <w:gridSpan w:val="3"/>
            <w:tcBorders>
              <w:top w:val="dotted"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11</w:t>
            </w:r>
          </w:p>
        </w:tc>
        <w:tc>
          <w:tcPr>
            <w:tcW w:w="5265" w:type="dxa"/>
            <w:gridSpan w:val="3"/>
            <w:tcBorders>
              <w:top w:val="dotted" w:sz="8" w:space="0" w:color="000000"/>
              <w:left w:val="dotted" w:sz="8" w:space="0" w:color="000000"/>
              <w:right w:val="dotted" w:sz="8" w:space="0" w:color="000000"/>
            </w:tcBorders>
            <w:tcMar>
              <w:top w:w="30" w:type="dxa"/>
              <w:left w:w="67" w:type="dxa"/>
              <w:bottom w:w="0" w:type="dxa"/>
            </w:tcMar>
            <w:vAlign w:val="center"/>
          </w:tcPr>
          <w:p>
            <w:pPr>
              <w:pStyle w:val="TableContents"/>
              <w:bidi w:val="0"/>
              <w:spacing w:lineRule="auto" w:line="319" w:before="0" w:after="283"/>
              <w:jc w:val="left"/>
              <w:rPr>
                <w:rFonts w:ascii="Arial;sans-serif" w:hAnsi="Arial;sans-serif"/>
                <w:b/>
                <w:i/>
                <w:color w:val="000000"/>
                <w:sz w:val="20"/>
              </w:rPr>
            </w:pPr>
            <w:r>
              <w:rPr>
                <w:rFonts w:ascii="Arial;sans-serif" w:hAnsi="Arial;sans-serif"/>
                <w:b/>
                <w:i/>
                <w:color w:val="000000"/>
                <w:sz w:val="20"/>
              </w:rPr>
              <w:t>13</w:t>
            </w:r>
          </w:p>
        </w:tc>
      </w:tr>
      <w:tr>
        <w:trPr/>
        <w:tc>
          <w:tcPr>
            <w:tcW w:w="1365" w:type="dxa"/>
            <w:gridSpan w:val="3"/>
            <w:tcBorders>
              <w:top w:val="dotted"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Manager</w:t>
            </w:r>
          </w:p>
        </w:tc>
        <w:tc>
          <w:tcPr>
            <w:tcW w:w="3060" w:type="dxa"/>
            <w:gridSpan w:val="3"/>
            <w:tcBorders>
              <w:top w:val="dotted"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Rhonda Powell</w:t>
            </w:r>
          </w:p>
        </w:tc>
        <w:tc>
          <w:tcPr>
            <w:tcW w:w="5265" w:type="dxa"/>
            <w:gridSpan w:val="3"/>
            <w:tcBorders>
              <w:top w:val="dotted" w:sz="8" w:space="0" w:color="000000"/>
              <w:left w:val="dotted" w:sz="8" w:space="0" w:color="000000"/>
              <w:right w:val="dotted" w:sz="8" w:space="0" w:color="000000"/>
            </w:tcBorders>
            <w:tcMar>
              <w:top w:w="30" w:type="dxa"/>
              <w:left w:w="67" w:type="dxa"/>
              <w:bottom w:w="0" w:type="dxa"/>
            </w:tcMar>
            <w:vAlign w:val="center"/>
          </w:tcPr>
          <w:p>
            <w:pPr>
              <w:pStyle w:val="TableContents"/>
              <w:bidi w:val="0"/>
              <w:spacing w:lineRule="auto" w:line="319" w:before="0" w:after="283"/>
              <w:jc w:val="left"/>
              <w:rPr>
                <w:rFonts w:ascii="Arial;sans-serif" w:hAnsi="Arial;sans-serif"/>
                <w:b/>
                <w:i/>
                <w:color w:val="000000"/>
                <w:sz w:val="20"/>
              </w:rPr>
            </w:pPr>
            <w:r>
              <w:rPr>
                <w:rFonts w:ascii="Arial;sans-serif" w:hAnsi="Arial;sans-serif"/>
                <w:b/>
                <w:i/>
                <w:color w:val="000000"/>
                <w:sz w:val="20"/>
              </w:rPr>
              <w:t>Marcela Martin</w:t>
            </w:r>
          </w:p>
        </w:tc>
      </w:tr>
      <w:tr>
        <w:trPr/>
        <w:tc>
          <w:tcPr>
            <w:tcW w:w="1365" w:type="dxa"/>
            <w:gridSpan w:val="3"/>
            <w:tcBorders>
              <w:top w:val="dotted" w:sz="8" w:space="0" w:color="000000"/>
              <w:left w:val="dotted" w:sz="8" w:space="0" w:color="000000"/>
              <w:bottom w:val="dotted" w:sz="8" w:space="0" w:color="000000"/>
            </w:tcBorders>
            <w:tcMar>
              <w:top w:w="30" w:type="dxa"/>
              <w:left w:w="67"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Bonus</w:t>
            </w:r>
          </w:p>
        </w:tc>
        <w:tc>
          <w:tcPr>
            <w:tcW w:w="3060" w:type="dxa"/>
            <w:gridSpan w:val="3"/>
            <w:tcBorders>
              <w:top w:val="dotted" w:sz="8" w:space="0" w:color="000000"/>
              <w:left w:val="dotted" w:sz="8" w:space="0" w:color="000000"/>
              <w:bottom w:val="dotted" w:sz="8" w:space="0" w:color="000000"/>
            </w:tcBorders>
            <w:tcMar>
              <w:top w:w="30" w:type="dxa"/>
              <w:left w:w="67"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40%</w:t>
            </w:r>
          </w:p>
        </w:tc>
        <w:tc>
          <w:tcPr>
            <w:tcW w:w="5265" w:type="dxa"/>
            <w:gridSpan w:val="3"/>
            <w:tcBorders>
              <w:top w:val="dotted" w:sz="8" w:space="0" w:color="000000"/>
              <w:left w:val="dotted" w:sz="8" w:space="0" w:color="000000"/>
              <w:bottom w:val="dotted" w:sz="8" w:space="0" w:color="000000"/>
              <w:right w:val="dotted" w:sz="8" w:space="0" w:color="000000"/>
            </w:tcBorders>
            <w:tcMar>
              <w:top w:w="30" w:type="dxa"/>
              <w:left w:w="67" w:type="dxa"/>
              <w:bottom w:w="30" w:type="dxa"/>
            </w:tcMar>
            <w:vAlign w:val="center"/>
          </w:tcPr>
          <w:p>
            <w:pPr>
              <w:pStyle w:val="TableContents"/>
              <w:bidi w:val="0"/>
              <w:spacing w:lineRule="auto" w:line="319" w:before="0" w:after="283"/>
              <w:jc w:val="left"/>
              <w:rPr>
                <w:rFonts w:ascii="Arial;sans-serif" w:hAnsi="Arial;sans-serif"/>
                <w:b/>
                <w:i/>
                <w:color w:val="000000"/>
                <w:sz w:val="20"/>
              </w:rPr>
            </w:pPr>
            <w:r>
              <w:rPr>
                <w:rFonts w:ascii="Arial;sans-serif" w:hAnsi="Arial;sans-serif"/>
                <w:b/>
                <w:i/>
                <w:color w:val="000000"/>
                <w:sz w:val="20"/>
              </w:rPr>
              <w:t>50%</w:t>
            </w:r>
          </w:p>
        </w:tc>
      </w:tr>
    </w:tbl>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Bonus Compensation for each calendar year will be in the amount of 50% of base salary as of</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January 1, 2023. Any award will be determined through a combination of</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overall BuzzFeed performance and your own individual goals and competencies. Determinations as to the achievement of Bonus Compensation targets will be in the sole discretion of the Company.</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Nothing else regarding your employment is changing at this time; your employment with the Company continues to be subject to your Offer of Employment and PIIA. This letter constitutes the entire agreement between you and the Company regarding the subject matter of this letter, and it replaces and supersedes any other agreements, representations or understandings between you and the Company regarding its subject matter.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Best, </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People Team</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Exhibit 10.16.1</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37"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1676400" cy="295275"/>
            <wp:effectExtent l="0" t="0" r="0" b="0"/>
            <wp:docPr id="13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8" descr=""/>
                    <pic:cNvPicPr>
                      <a:picLocks noChangeAspect="1" noChangeArrowheads="1"/>
                    </pic:cNvPicPr>
                  </pic:nvPicPr>
                  <pic:blipFill>
                    <a:blip r:embed="rId73"/>
                    <a:stretch>
                      <a:fillRect/>
                    </a:stretch>
                  </pic:blipFill>
                  <pic:spPr bwMode="auto">
                    <a:xfrm>
                      <a:off x="0" y="0"/>
                      <a:ext cx="1676400" cy="295275"/>
                    </a:xfrm>
                    <a:prstGeom prst="rect">
                      <a:avLst/>
                    </a:prstGeom>
                  </pic:spPr>
                </pic:pic>
              </a:graphicData>
            </a:graphic>
          </wp:inline>
        </w:drawing>
      </w:r>
    </w:p>
    <w:p>
      <w:pPr>
        <w:pStyle w:val="TextBody"/>
        <w:bidi w:val="0"/>
        <w:spacing w:lineRule="auto" w:line="333" w:before="0" w:after="0"/>
        <w:jc w:val="right"/>
        <w:rPr>
          <w:shd w:fill="FFFFFF" w:val="clear"/>
        </w:rPr>
      </w:pPr>
      <w:r>
        <w:rPr>
          <w:color w:val="000000"/>
          <w:shd w:fill="FFFFFF" w:val="clear"/>
        </w:rPr>
        <w:t>                </w:t>
      </w:r>
      <w:r>
        <w:rPr>
          <w:rFonts w:ascii="Times New Roman;sans-serif" w:hAnsi="Times New Roman;sans-serif"/>
          <w:b w:val="false"/>
          <w:color w:val="000000"/>
          <w:sz w:val="14"/>
          <w:shd w:fill="FFFFFF" w:val="clear"/>
        </w:rPr>
        <w:t>111 E. 18</w:t>
      </w:r>
      <w:r>
        <w:rPr>
          <w:rFonts w:ascii="Times New Roman;sans-serif" w:hAnsi="Times New Roman;sans-serif"/>
          <w:b w:val="false"/>
          <w:color w:val="000000"/>
          <w:sz w:val="9"/>
          <w:shd w:fill="FFFFFF" w:val="clear"/>
        </w:rPr>
        <w:t>th</w:t>
      </w:r>
      <w:r>
        <w:rPr>
          <w:color w:val="000000"/>
          <w:shd w:fill="FFFFFF" w:val="clear"/>
        </w:rPr>
        <w:t xml:space="preserve"> </w:t>
      </w:r>
      <w:r>
        <w:rPr>
          <w:rFonts w:ascii="Times New Roman;sans-serif" w:hAnsi="Times New Roman;sans-serif"/>
          <w:b w:val="false"/>
          <w:color w:val="000000"/>
          <w:sz w:val="14"/>
          <w:shd w:fill="FFFFFF" w:val="clear"/>
        </w:rPr>
        <w:t>St. New York, NY 10003</w:t>
      </w:r>
    </w:p>
    <w:p>
      <w:pPr>
        <w:pStyle w:val="TextBody"/>
        <w:bidi w:val="0"/>
        <w:spacing w:lineRule="auto" w:line="333" w:before="0" w:after="0"/>
        <w:jc w:val="right"/>
        <w:rPr>
          <w:shd w:fill="FFFFFF" w:val="clear"/>
        </w:rPr>
      </w:pPr>
      <w:r>
        <w:rPr>
          <w:color w:val="000000"/>
          <w:shd w:fill="FFFFFF" w:val="clear"/>
        </w:rPr>
        <w:t xml:space="preserve">                                     </w:t>
      </w:r>
      <w:r>
        <w:rPr>
          <w:rFonts w:ascii="Times New Roman;sans-serif" w:hAnsi="Times New Roman;sans-serif"/>
          <w:b w:val="false"/>
          <w:color w:val="000000"/>
          <w:sz w:val="12"/>
          <w:shd w:fill="FFFFFF" w:val="clear"/>
        </w:rPr>
        <w:t>Tel</w:t>
      </w:r>
      <w:r>
        <w:rPr>
          <w:color w:val="000000"/>
          <w:shd w:fill="FFFFFF" w:val="clear"/>
        </w:rPr>
        <w:t xml:space="preserve"> </w:t>
      </w:r>
      <w:r>
        <w:rPr>
          <w:rFonts w:ascii="Times New Roman;sans-serif" w:hAnsi="Times New Roman;sans-serif"/>
          <w:b w:val="false"/>
          <w:color w:val="000000"/>
          <w:sz w:val="14"/>
          <w:shd w:fill="FFFFFF" w:val="clear"/>
        </w:rPr>
        <w:t xml:space="preserve">(212) 431 7464 </w:t>
      </w:r>
      <w:r>
        <w:rPr>
          <w:rFonts w:ascii="Times New Roman;sans-serif" w:hAnsi="Times New Roman;sans-serif"/>
          <w:b w:val="false"/>
          <w:color w:val="000000"/>
          <w:sz w:val="12"/>
          <w:shd w:fill="FFFFFF" w:val="clear"/>
        </w:rPr>
        <w:t>Fax</w:t>
      </w:r>
      <w:r>
        <w:rPr>
          <w:color w:val="000000"/>
          <w:shd w:fill="FFFFFF" w:val="clear"/>
        </w:rPr>
        <w:t xml:space="preserve"> </w:t>
      </w:r>
      <w:r>
        <w:rPr>
          <w:rFonts w:ascii="Times New Roman;sans-serif" w:hAnsi="Times New Roman;sans-serif"/>
          <w:b w:val="false"/>
          <w:color w:val="000000"/>
          <w:sz w:val="14"/>
          <w:shd w:fill="FFFFFF" w:val="clear"/>
        </w:rPr>
        <w:t xml:space="preserve">(212) 431 7461 </w:t>
      </w:r>
      <w:r>
        <w:rPr>
          <w:rFonts w:ascii="Times New Roman;sans-serif" w:hAnsi="Times New Roman;sans-serif"/>
          <w:b w:val="false"/>
          <w:color w:val="EE3322"/>
          <w:sz w:val="14"/>
          <w:shd w:fill="FFFFFF" w:val="clear"/>
        </w:rPr>
        <w:t>buzzfeed.com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September 24, 2019</w:t>
      </w:r>
    </w:p>
    <w:p>
      <w:pPr>
        <w:pStyle w:val="TextBody"/>
        <w:bidi w:val="0"/>
        <w:spacing w:lineRule="auto" w:line="319"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Matthew Omer</w:t>
      </w:r>
    </w:p>
    <w:p>
      <w:pPr>
        <w:pStyle w:val="TextBody"/>
        <w:bidi w:val="0"/>
        <w:spacing w:lineRule="auto" w:line="319"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Dear Matthew,</w:t>
      </w:r>
    </w:p>
    <w:p>
      <w:pPr>
        <w:pStyle w:val="TextBody"/>
        <w:bidi w:val="0"/>
        <w:spacing w:lineRule="auto" w:line="319" w:before="0" w:after="0"/>
        <w:jc w:val="left"/>
        <w:rPr>
          <w:shd w:fill="FFFFFF" w:val="clear"/>
        </w:rPr>
      </w:pPr>
      <w:r>
        <w:rPr>
          <w:rFonts w:ascii="Times New Roman;sans-serif" w:hAnsi="Times New Roman;sans-serif"/>
          <w:b w:val="false"/>
          <w:color w:val="000000"/>
          <w:sz w:val="24"/>
          <w:shd w:fill="FFFFFF" w:val="clear"/>
        </w:rPr>
        <w:t>BuzzFeed, Inc. (the “</w:t>
      </w:r>
      <w:r>
        <w:rPr>
          <w:rFonts w:ascii="Times New Roman;sans-serif" w:hAnsi="Times New Roman;sans-serif"/>
          <w:b w:val="false"/>
          <w:color w:val="000000"/>
          <w:sz w:val="24"/>
          <w:u w:val="single"/>
          <w:shd w:fill="FFFFFF" w:val="clear"/>
        </w:rPr>
        <w:t>Company</w:t>
      </w:r>
      <w:r>
        <w:rPr>
          <w:color w:val="000000"/>
          <w:shd w:fill="FFFFFF" w:val="clear"/>
        </w:rPr>
        <w:t>”</w:t>
      </w:r>
      <w:r>
        <w:rPr>
          <w:rFonts w:ascii="Times New Roman;sans-serif" w:hAnsi="Times New Roman;sans-serif"/>
          <w:b w:val="false"/>
          <w:color w:val="000000"/>
          <w:sz w:val="24"/>
          <w:shd w:fill="FFFFFF" w:val="clear"/>
        </w:rPr>
        <w:t>) is pleased to offer you employment on the following terms:</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1. </w:t>
      </w:r>
      <w:r>
        <w:rPr>
          <w:rFonts w:ascii="Times New Roman;sans-serif" w:hAnsi="Times New Roman;sans-serif"/>
          <w:b/>
          <w:color w:val="000000"/>
          <w:sz w:val="24"/>
          <w:u w:val="single"/>
          <w:shd w:fill="FFFFFF" w:val="clear"/>
        </w:rPr>
        <w:t>Position</w:t>
      </w:r>
      <w:r>
        <w:rPr>
          <w:rFonts w:ascii="Times New Roman;sans-serif" w:hAnsi="Times New Roman;sans-serif"/>
          <w:b w:val="false"/>
          <w:color w:val="000000"/>
          <w:sz w:val="24"/>
          <w:shd w:fill="FFFFFF" w:val="clear"/>
        </w:rPr>
        <w:t>. Your initial title will be VP, Financial Planning and Analysis and you will initially report to the company’s Chief Planning Officer. This is a full-time position based in Los Angeles, CA. By signing this letter agreement, you confirm to the Company that you have no contractual commitments or other legal obligations that would prohibit you from performing your duties for the Company.</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2. </w:t>
      </w:r>
      <w:r>
        <w:rPr>
          <w:rFonts w:ascii="Times New Roman;sans-serif" w:hAnsi="Times New Roman;sans-serif"/>
          <w:b/>
          <w:color w:val="000000"/>
          <w:sz w:val="24"/>
          <w:u w:val="single"/>
          <w:shd w:fill="FFFFFF" w:val="clear"/>
        </w:rPr>
        <w:t>Cash Compensation</w:t>
      </w:r>
      <w:r>
        <w:rPr>
          <w:rFonts w:ascii="Times New Roman;sans-serif" w:hAnsi="Times New Roman;sans-serif"/>
          <w:b w:val="false"/>
          <w:color w:val="000000"/>
          <w:sz w:val="24"/>
          <w:shd w:fill="FFFFFF" w:val="clear"/>
        </w:rPr>
        <w:t>. The Company will pay you a starting salary at the rate of $250,000.00 per year, payable in accordance with the Company’s standard payroll schedule, and subject to all withholdings and deductions as required by law.</w:t>
      </w:r>
    </w:p>
    <w:p>
      <w:pPr>
        <w:pStyle w:val="TextBody"/>
        <w:bidi w:val="0"/>
        <w:spacing w:lineRule="auto" w:line="319" w:before="20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In addition, you will be eligible to earn Bonus Compensation for each calendar year based on targets determined by the Company; your target Bonus Compensation per year will initially be $50,000.00. Any 2019 Bonus Compensation shall be prorated based on the number of days worked in the 2019 calendar year. Bonus Compensation will be determined through a combination of overall BuzzFeed performance and your own individual performance against goals and competencies determined by your manager. BuzzFeed reserves the right to determine the extent to which the Bonus is paid. Bonus Compensation is to be paid annually within 75 days after the close of the calendar year to which it relates, subject to your remaining employed by the Company through the date of payment. Determinations as to the achievement of Bonus Compensation targets will be in the sole discretion of the Company. The determinations of the Company’s Board of Directors with respect to your Bonus Compensation will be final and binding.</w:t>
      </w:r>
    </w:p>
    <w:p>
      <w:pPr>
        <w:pStyle w:val="TextBody"/>
        <w:bidi w:val="0"/>
        <w:spacing w:lineRule="auto" w:line="319" w:before="20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Your salary and Bonus Compensation structure will be subject to adjustment pursuant to the Company’s employee compensation policies in effect from time to time.</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3.     </w:t>
      </w:r>
      <w:r>
        <w:rPr>
          <w:rFonts w:ascii="Times New Roman;sans-serif" w:hAnsi="Times New Roman;sans-serif"/>
          <w:b/>
          <w:color w:val="000000"/>
          <w:sz w:val="24"/>
          <w:u w:val="single"/>
          <w:shd w:fill="FFFFFF" w:val="clear"/>
        </w:rPr>
        <w:t>Employee Benefits</w:t>
      </w:r>
      <w:r>
        <w:rPr>
          <w:rFonts w:ascii="Times New Roman;sans-serif" w:hAnsi="Times New Roman;sans-serif"/>
          <w:b w:val="false"/>
          <w:color w:val="000000"/>
          <w:sz w:val="24"/>
          <w:shd w:fill="FFFFFF" w:val="clear"/>
        </w:rPr>
        <w:t xml:space="preserve">. As a regular employee of the Company, you will be eligible to participate in a number of Company-sponsored benefits, including medical and dental. In addition, we provide a 401(k) retirement plan. You will be automatically enrolled in the pre-tax 401(k) plan at 3% in a Vanguard Institutional Target Retirement Fund with the target date closest to the year in which you will reach age 65. More detailed information, including how to opt out </w:t>
      </w:r>
    </w:p>
    <w:p>
      <w:pPr>
        <w:pStyle w:val="TextBody"/>
        <w:bidi w:val="0"/>
        <w:spacing w:lineRule="auto" w:line="319" w:before="0" w:after="0"/>
        <w:jc w:val="righ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Exhibit 10.16.1</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39"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1676400" cy="295275"/>
            <wp:effectExtent l="0" t="0" r="0" b="0"/>
            <wp:docPr id="14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 descr=""/>
                    <pic:cNvPicPr>
                      <a:picLocks noChangeAspect="1" noChangeArrowheads="1"/>
                    </pic:cNvPicPr>
                  </pic:nvPicPr>
                  <pic:blipFill>
                    <a:blip r:embed="rId74"/>
                    <a:stretch>
                      <a:fillRect/>
                    </a:stretch>
                  </pic:blipFill>
                  <pic:spPr bwMode="auto">
                    <a:xfrm>
                      <a:off x="0" y="0"/>
                      <a:ext cx="1676400" cy="295275"/>
                    </a:xfrm>
                    <a:prstGeom prst="rect">
                      <a:avLst/>
                    </a:prstGeom>
                  </pic:spPr>
                </pic:pic>
              </a:graphicData>
            </a:graphic>
          </wp:inline>
        </w:drawing>
      </w:r>
    </w:p>
    <w:p>
      <w:pPr>
        <w:pStyle w:val="TextBody"/>
        <w:bidi w:val="0"/>
        <w:spacing w:lineRule="auto" w:line="333" w:before="0" w:after="0"/>
        <w:jc w:val="right"/>
        <w:rPr>
          <w:shd w:fill="FFFFFF" w:val="clear"/>
        </w:rPr>
      </w:pPr>
      <w:r>
        <w:rPr>
          <w:color w:val="000000"/>
          <w:shd w:fill="FFFFFF" w:val="clear"/>
        </w:rPr>
        <w:t>                </w:t>
      </w:r>
      <w:r>
        <w:rPr>
          <w:rFonts w:ascii="Times New Roman;sans-serif" w:hAnsi="Times New Roman;sans-serif"/>
          <w:b w:val="false"/>
          <w:color w:val="000000"/>
          <w:sz w:val="14"/>
          <w:shd w:fill="FFFFFF" w:val="clear"/>
        </w:rPr>
        <w:t>111 E. 18</w:t>
      </w:r>
      <w:r>
        <w:rPr>
          <w:rFonts w:ascii="Times New Roman;sans-serif" w:hAnsi="Times New Roman;sans-serif"/>
          <w:b w:val="false"/>
          <w:color w:val="000000"/>
          <w:sz w:val="9"/>
          <w:shd w:fill="FFFFFF" w:val="clear"/>
        </w:rPr>
        <w:t>th</w:t>
      </w:r>
      <w:r>
        <w:rPr>
          <w:color w:val="000000"/>
          <w:shd w:fill="FFFFFF" w:val="clear"/>
        </w:rPr>
        <w:t xml:space="preserve"> </w:t>
      </w:r>
      <w:r>
        <w:rPr>
          <w:rFonts w:ascii="Times New Roman;sans-serif" w:hAnsi="Times New Roman;sans-serif"/>
          <w:b w:val="false"/>
          <w:color w:val="000000"/>
          <w:sz w:val="14"/>
          <w:shd w:fill="FFFFFF" w:val="clear"/>
        </w:rPr>
        <w:t>St. New York, NY 10003</w:t>
      </w:r>
    </w:p>
    <w:p>
      <w:pPr>
        <w:pStyle w:val="TextBody"/>
        <w:bidi w:val="0"/>
        <w:spacing w:lineRule="auto" w:line="333" w:before="0" w:after="0"/>
        <w:jc w:val="right"/>
        <w:rPr>
          <w:shd w:fill="FFFFFF" w:val="clear"/>
        </w:rPr>
      </w:pPr>
      <w:r>
        <w:rPr>
          <w:color w:val="000000"/>
          <w:shd w:fill="FFFFFF" w:val="clear"/>
        </w:rPr>
        <w:t xml:space="preserve">                                     </w:t>
      </w:r>
      <w:r>
        <w:rPr>
          <w:rFonts w:ascii="Times New Roman;sans-serif" w:hAnsi="Times New Roman;sans-serif"/>
          <w:b w:val="false"/>
          <w:color w:val="000000"/>
          <w:sz w:val="12"/>
          <w:shd w:fill="FFFFFF" w:val="clear"/>
        </w:rPr>
        <w:t>Tel</w:t>
      </w:r>
      <w:r>
        <w:rPr>
          <w:color w:val="000000"/>
          <w:shd w:fill="FFFFFF" w:val="clear"/>
        </w:rPr>
        <w:t xml:space="preserve"> </w:t>
      </w:r>
      <w:r>
        <w:rPr>
          <w:rFonts w:ascii="Times New Roman;sans-serif" w:hAnsi="Times New Roman;sans-serif"/>
          <w:b w:val="false"/>
          <w:color w:val="000000"/>
          <w:sz w:val="14"/>
          <w:shd w:fill="FFFFFF" w:val="clear"/>
        </w:rPr>
        <w:t xml:space="preserve">(212) 431 7464 </w:t>
      </w:r>
      <w:r>
        <w:rPr>
          <w:rFonts w:ascii="Times New Roman;sans-serif" w:hAnsi="Times New Roman;sans-serif"/>
          <w:b w:val="false"/>
          <w:color w:val="000000"/>
          <w:sz w:val="12"/>
          <w:shd w:fill="FFFFFF" w:val="clear"/>
        </w:rPr>
        <w:t>Fax</w:t>
      </w:r>
      <w:r>
        <w:rPr>
          <w:color w:val="000000"/>
          <w:shd w:fill="FFFFFF" w:val="clear"/>
        </w:rPr>
        <w:t xml:space="preserve"> </w:t>
      </w:r>
      <w:r>
        <w:rPr>
          <w:rFonts w:ascii="Times New Roman;sans-serif" w:hAnsi="Times New Roman;sans-serif"/>
          <w:b w:val="false"/>
          <w:color w:val="000000"/>
          <w:sz w:val="14"/>
          <w:shd w:fill="FFFFFF" w:val="clear"/>
        </w:rPr>
        <w:t xml:space="preserve">(212) 431 7461 </w:t>
      </w:r>
      <w:r>
        <w:rPr>
          <w:rFonts w:ascii="Times New Roman;sans-serif" w:hAnsi="Times New Roman;sans-serif"/>
          <w:b w:val="false"/>
          <w:color w:val="EE3322"/>
          <w:sz w:val="14"/>
          <w:shd w:fill="FFFFFF" w:val="clear"/>
        </w:rPr>
        <w:t>buzzfeed.com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20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or change your contribution amount, will be provided to you when you start. In addition, you will be entitled to accrue three weeks’ vacation annually in accordance with the Company’s vacation policy (including the Company’s standard accrual maximums), as in effect from time to time. You will also be covered by the Company’s sick leave policies.</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4. </w:t>
      </w:r>
      <w:r>
        <w:rPr>
          <w:rFonts w:ascii="Times New Roman;sans-serif" w:hAnsi="Times New Roman;sans-serif"/>
          <w:b/>
          <w:color w:val="000000"/>
          <w:sz w:val="24"/>
          <w:u w:val="single"/>
          <w:shd w:fill="FFFFFF" w:val="clear"/>
        </w:rPr>
        <w:t>Stock Options</w:t>
      </w:r>
      <w:r>
        <w:rPr>
          <w:rFonts w:ascii="Times New Roman;sans-serif" w:hAnsi="Times New Roman;sans-serif"/>
          <w:b w:val="false"/>
          <w:color w:val="000000"/>
          <w:sz w:val="24"/>
          <w:shd w:fill="FFFFFF" w:val="clear"/>
        </w:rPr>
        <w:t>. Subject to the approval of the Company’s Board of Directors or its Compensation Committee, you will be granted an option to purchase 50,000 shares of the Company’s Common Stock (the “</w:t>
      </w:r>
      <w:r>
        <w:rPr>
          <w:rFonts w:ascii="Times New Roman;sans-serif" w:hAnsi="Times New Roman;sans-serif"/>
          <w:b w:val="false"/>
          <w:color w:val="000000"/>
          <w:sz w:val="24"/>
          <w:u w:val="single"/>
          <w:shd w:fill="FFFFFF" w:val="clear"/>
        </w:rPr>
        <w:t>Option</w:t>
      </w:r>
      <w:r>
        <w:rPr>
          <w:color w:val="000000"/>
          <w:shd w:fill="FFFFFF" w:val="clear"/>
        </w:rPr>
        <w:t>”</w:t>
      </w:r>
      <w:r>
        <w:rPr>
          <w:rFonts w:ascii="Times New Roman;sans-serif" w:hAnsi="Times New Roman;sans-serif"/>
          <w:b w:val="false"/>
          <w:color w:val="000000"/>
          <w:sz w:val="24"/>
          <w:shd w:fill="FFFFFF" w:val="clear"/>
        </w:rPr>
        <w:t>). The exercise price per share of the Option will be determined by the Board of Directors or the Compensation Committee when the Option is granted. The Option will be subject to the terms and conditions applicable to options granted under the Company’s 2015 Stock Plan (the “</w:t>
      </w:r>
      <w:r>
        <w:rPr>
          <w:rFonts w:ascii="Times New Roman;sans-serif" w:hAnsi="Times New Roman;sans-serif"/>
          <w:b w:val="false"/>
          <w:color w:val="000000"/>
          <w:sz w:val="24"/>
          <w:u w:val="single"/>
          <w:shd w:fill="FFFFFF" w:val="clear"/>
        </w:rPr>
        <w:t>Plan</w:t>
      </w:r>
      <w:r>
        <w:rPr>
          <w:color w:val="000000"/>
          <w:shd w:fill="FFFFFF" w:val="clear"/>
        </w:rPr>
        <w:t>”</w:t>
      </w:r>
      <w:r>
        <w:rPr>
          <w:rFonts w:ascii="Times New Roman;sans-serif" w:hAnsi="Times New Roman;sans-serif"/>
          <w:b w:val="false"/>
          <w:color w:val="000000"/>
          <w:sz w:val="24"/>
          <w:shd w:fill="FFFFFF" w:val="clear"/>
        </w:rPr>
        <w:t>),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5. </w:t>
      </w:r>
      <w:r>
        <w:rPr>
          <w:rFonts w:ascii="Times New Roman;sans-serif" w:hAnsi="Times New Roman;sans-serif"/>
          <w:b/>
          <w:color w:val="000000"/>
          <w:sz w:val="24"/>
          <w:u w:val="single"/>
          <w:shd w:fill="FFFFFF" w:val="clear"/>
        </w:rPr>
        <w:t>Proprietary Information and Inventions Agreement</w:t>
      </w:r>
      <w:r>
        <w:rPr>
          <w:rFonts w:ascii="Times New Roman;sans-serif" w:hAnsi="Times New Roman;sans-serif"/>
          <w:b w:val="false"/>
          <w:color w:val="000000"/>
          <w:sz w:val="24"/>
          <w:shd w:fill="FFFFFF" w:val="clear"/>
        </w:rPr>
        <w:t xml:space="preserve">. Like all Company employees, you will be required, as a condition of your employment with the Company, to sign the Company’s standard Proprietary Information and Inventions Agreement (PIIA), a copy of which is attached hereto as Exhibit A. </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6. </w:t>
      </w:r>
      <w:r>
        <w:rPr>
          <w:rFonts w:ascii="Times New Roman;sans-serif" w:hAnsi="Times New Roman;sans-serif"/>
          <w:b/>
          <w:color w:val="000000"/>
          <w:sz w:val="24"/>
          <w:u w:val="single"/>
          <w:shd w:fill="FFFFFF" w:val="clear"/>
        </w:rPr>
        <w:t>Employment Relationship</w:t>
      </w:r>
      <w:r>
        <w:rPr>
          <w:rFonts w:ascii="Times New Roman;sans-serif" w:hAnsi="Times New Roman;sans-serif"/>
          <w:b w:val="false"/>
          <w:color w:val="000000"/>
          <w:sz w:val="24"/>
          <w:shd w:fill="FFFFFF" w:val="clear"/>
        </w:rPr>
        <w:t>. Employment with the Company is for no specific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7. </w:t>
      </w:r>
      <w:r>
        <w:rPr>
          <w:rFonts w:ascii="Times New Roman;sans-serif" w:hAnsi="Times New Roman;sans-serif"/>
          <w:b/>
          <w:color w:val="000000"/>
          <w:sz w:val="24"/>
          <w:u w:val="single"/>
          <w:shd w:fill="FFFFFF" w:val="clear"/>
        </w:rPr>
        <w:t>Outside Activities</w:t>
      </w:r>
      <w:r>
        <w:rPr>
          <w:rFonts w:ascii="Times New Roman;sans-serif" w:hAnsi="Times New Roman;sans-serif"/>
          <w:b w:val="false"/>
          <w:color w:val="000000"/>
          <w:sz w:val="24"/>
          <w:shd w:fill="FFFFFF" w:val="clear"/>
        </w:rPr>
        <w:t xml:space="preserve">. We ask that, if you have not already done so, you disclose to the Company, any and all agreements that may affect your eligibility to be employed by the Company or limit your ability to perform to your fullest potential all duties asked of you by the Company. It is the Company’s understanding that you are not currently bound by any such and you represent such is the case. Moreover, while you render services to the Company, you agree that you will not engage in any other employment, consulting or other business activity without the prior written consent of the Company. The purpose of this consent is to allow the Company to ensure that the outside employment does not create an actual or potential conflict of interest. While you render services to the Company, you also will not assist any person or entity in </w:t>
      </w:r>
    </w:p>
    <w:p>
      <w:pPr>
        <w:pStyle w:val="TextBody"/>
        <w:bidi w:val="0"/>
        <w:spacing w:lineRule="auto" w:line="319" w:before="0" w:after="0"/>
        <w:jc w:val="righ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Exhibit 10.16.1</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41"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1676400" cy="295275"/>
            <wp:effectExtent l="0" t="0" r="0" b="0"/>
            <wp:docPr id="14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 descr=""/>
                    <pic:cNvPicPr>
                      <a:picLocks noChangeAspect="1" noChangeArrowheads="1"/>
                    </pic:cNvPicPr>
                  </pic:nvPicPr>
                  <pic:blipFill>
                    <a:blip r:embed="rId75"/>
                    <a:stretch>
                      <a:fillRect/>
                    </a:stretch>
                  </pic:blipFill>
                  <pic:spPr bwMode="auto">
                    <a:xfrm>
                      <a:off x="0" y="0"/>
                      <a:ext cx="1676400" cy="295275"/>
                    </a:xfrm>
                    <a:prstGeom prst="rect">
                      <a:avLst/>
                    </a:prstGeom>
                  </pic:spPr>
                </pic:pic>
              </a:graphicData>
            </a:graphic>
          </wp:inline>
        </w:drawing>
      </w:r>
    </w:p>
    <w:p>
      <w:pPr>
        <w:pStyle w:val="TextBody"/>
        <w:bidi w:val="0"/>
        <w:spacing w:lineRule="auto" w:line="333" w:before="0" w:after="0"/>
        <w:jc w:val="right"/>
        <w:rPr>
          <w:shd w:fill="FFFFFF" w:val="clear"/>
        </w:rPr>
      </w:pPr>
      <w:r>
        <w:rPr>
          <w:color w:val="000000"/>
          <w:shd w:fill="FFFFFF" w:val="clear"/>
        </w:rPr>
        <w:t>                </w:t>
      </w:r>
      <w:r>
        <w:rPr>
          <w:rFonts w:ascii="Times New Roman;sans-serif" w:hAnsi="Times New Roman;sans-serif"/>
          <w:b w:val="false"/>
          <w:color w:val="000000"/>
          <w:sz w:val="14"/>
          <w:shd w:fill="FFFFFF" w:val="clear"/>
        </w:rPr>
        <w:t>111 E. 18</w:t>
      </w:r>
      <w:r>
        <w:rPr>
          <w:rFonts w:ascii="Times New Roman;sans-serif" w:hAnsi="Times New Roman;sans-serif"/>
          <w:b w:val="false"/>
          <w:color w:val="000000"/>
          <w:sz w:val="9"/>
          <w:shd w:fill="FFFFFF" w:val="clear"/>
        </w:rPr>
        <w:t>th</w:t>
      </w:r>
      <w:r>
        <w:rPr>
          <w:color w:val="000000"/>
          <w:shd w:fill="FFFFFF" w:val="clear"/>
        </w:rPr>
        <w:t xml:space="preserve"> </w:t>
      </w:r>
      <w:r>
        <w:rPr>
          <w:rFonts w:ascii="Times New Roman;sans-serif" w:hAnsi="Times New Roman;sans-serif"/>
          <w:b w:val="false"/>
          <w:color w:val="000000"/>
          <w:sz w:val="14"/>
          <w:shd w:fill="FFFFFF" w:val="clear"/>
        </w:rPr>
        <w:t>St. New York, NY 10003</w:t>
      </w:r>
    </w:p>
    <w:p>
      <w:pPr>
        <w:pStyle w:val="TextBody"/>
        <w:bidi w:val="0"/>
        <w:spacing w:lineRule="auto" w:line="333" w:before="0" w:after="0"/>
        <w:jc w:val="right"/>
        <w:rPr>
          <w:shd w:fill="FFFFFF" w:val="clear"/>
        </w:rPr>
      </w:pPr>
      <w:r>
        <w:rPr>
          <w:color w:val="000000"/>
          <w:shd w:fill="FFFFFF" w:val="clear"/>
        </w:rPr>
        <w:t xml:space="preserve">                                     </w:t>
      </w:r>
      <w:r>
        <w:rPr>
          <w:rFonts w:ascii="Times New Roman;sans-serif" w:hAnsi="Times New Roman;sans-serif"/>
          <w:b w:val="false"/>
          <w:color w:val="000000"/>
          <w:sz w:val="12"/>
          <w:shd w:fill="FFFFFF" w:val="clear"/>
        </w:rPr>
        <w:t>Tel</w:t>
      </w:r>
      <w:r>
        <w:rPr>
          <w:color w:val="000000"/>
          <w:shd w:fill="FFFFFF" w:val="clear"/>
        </w:rPr>
        <w:t xml:space="preserve"> </w:t>
      </w:r>
      <w:r>
        <w:rPr>
          <w:rFonts w:ascii="Times New Roman;sans-serif" w:hAnsi="Times New Roman;sans-serif"/>
          <w:b w:val="false"/>
          <w:color w:val="000000"/>
          <w:sz w:val="14"/>
          <w:shd w:fill="FFFFFF" w:val="clear"/>
        </w:rPr>
        <w:t xml:space="preserve">(212) 431 7464 </w:t>
      </w:r>
      <w:r>
        <w:rPr>
          <w:rFonts w:ascii="Times New Roman;sans-serif" w:hAnsi="Times New Roman;sans-serif"/>
          <w:b w:val="false"/>
          <w:color w:val="000000"/>
          <w:sz w:val="12"/>
          <w:shd w:fill="FFFFFF" w:val="clear"/>
        </w:rPr>
        <w:t>Fax</w:t>
      </w:r>
      <w:r>
        <w:rPr>
          <w:color w:val="000000"/>
          <w:shd w:fill="FFFFFF" w:val="clear"/>
        </w:rPr>
        <w:t xml:space="preserve"> </w:t>
      </w:r>
      <w:r>
        <w:rPr>
          <w:rFonts w:ascii="Times New Roman;sans-serif" w:hAnsi="Times New Roman;sans-serif"/>
          <w:b w:val="false"/>
          <w:color w:val="000000"/>
          <w:sz w:val="14"/>
          <w:shd w:fill="FFFFFF" w:val="clear"/>
        </w:rPr>
        <w:t xml:space="preserve">(212) 431 7461 </w:t>
      </w:r>
      <w:r>
        <w:rPr>
          <w:rFonts w:ascii="Times New Roman;sans-serif" w:hAnsi="Times New Roman;sans-serif"/>
          <w:b w:val="false"/>
          <w:color w:val="EE3322"/>
          <w:sz w:val="14"/>
          <w:shd w:fill="FFFFFF" w:val="clear"/>
        </w:rPr>
        <w:t>buzzfeed.com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20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xml:space="preserve">competing with the Company, in preparing to compete with the Company or in hiring any employees or consultants of the Company. Similarly, you agree not to bring any third-party confidential information to the Company, including that of your former employer, and you will not in any way utilize any such information in performing your duties for the Company. </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8.     </w:t>
      </w:r>
      <w:r>
        <w:rPr>
          <w:rFonts w:ascii="Times New Roman;sans-serif" w:hAnsi="Times New Roman;sans-serif"/>
          <w:b/>
          <w:color w:val="000000"/>
          <w:sz w:val="24"/>
          <w:u w:val="single"/>
          <w:shd w:fill="FFFFFF" w:val="clear"/>
        </w:rPr>
        <w:t>Company Policies</w:t>
      </w:r>
      <w:r>
        <w:rPr>
          <w:rFonts w:ascii="Times New Roman;sans-serif" w:hAnsi="Times New Roman;sans-serif"/>
          <w:b w:val="false"/>
          <w:color w:val="000000"/>
          <w:sz w:val="24"/>
          <w:shd w:fill="FFFFFF" w:val="clear"/>
        </w:rPr>
        <w:t xml:space="preserve">. You understand that by accepting employment with the Company you will be expected to conduct yourself in a professional manner and in accordance with the Company’s policies at all times. Such policies include, but are not limited to, the Company’s Anti-Harassment policy, Guidelines for Inappropriate Conduct policy, Code of Conduct, and policies contained in the Company’s Employee Handbook. These policies will be provided at the start of your employment and are also available on the Company’s Intranet. You are also required, as a condition of your employment with the Company, to sign the Company’s standard Conflict of Interest Policy, a copy of which is attached hereto as Exhibit B. </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9. </w:t>
      </w:r>
      <w:r>
        <w:rPr>
          <w:rFonts w:ascii="Times New Roman;sans-serif" w:hAnsi="Times New Roman;sans-serif"/>
          <w:b/>
          <w:color w:val="000000"/>
          <w:sz w:val="24"/>
          <w:u w:val="single"/>
          <w:shd w:fill="FFFFFF" w:val="clear"/>
        </w:rPr>
        <w:t>Withholding Taxes</w:t>
      </w:r>
      <w:r>
        <w:rPr>
          <w:rFonts w:ascii="Times New Roman;sans-serif" w:hAnsi="Times New Roman;sans-serif"/>
          <w:b w:val="false"/>
          <w:color w:val="000000"/>
          <w:sz w:val="24"/>
          <w:shd w:fill="FFFFFF" w:val="clear"/>
        </w:rPr>
        <w:t>. All forms of compensation referred to in this letter agreement are subject to reduction to reflect applicable withholding and payroll taxes and other deductions required by law or authorized by you for your participation in employee benefit programs.</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10. </w:t>
      </w:r>
      <w:r>
        <w:rPr>
          <w:rFonts w:ascii="Times New Roman;sans-serif" w:hAnsi="Times New Roman;sans-serif"/>
          <w:b/>
          <w:color w:val="000000"/>
          <w:sz w:val="24"/>
          <w:u w:val="single"/>
          <w:shd w:fill="FFFFFF" w:val="clear"/>
        </w:rPr>
        <w:t>Arbitration</w:t>
      </w:r>
      <w:r>
        <w:rPr>
          <w:rFonts w:ascii="Times New Roman;sans-serif" w:hAnsi="Times New Roman;sans-serif"/>
          <w:b w:val="false"/>
          <w:color w:val="000000"/>
          <w:sz w:val="24"/>
          <w:shd w:fill="FFFFFF" w:val="clear"/>
        </w:rPr>
        <w:t xml:space="preserve">. In the event of any dispute or claim relating to or arising out of our employment relationship, both you and the Company agree to submit such claim to binding arbitration under the auspices of the American Arbitration Association in accordance with its then current Employment Arbitration Rules and mediation procedures (a printed copy of which may be obtained from Human Resources at any time, or which may be viewed online at www.adr.org). Arbitration shall be conducted in the State and County where you rendered services for the Company. The Company and you hereby agree that a judgment upon an award rendered by the arbitrator may be entered in any court having jurisdiction over the parties. The Company shall pay all costs uniquely attributable to arbitration, including the administrative fees and costs of the arbitrator. Otherwise, each party shall pay that party’s own costs and attorney fees, if any, unless the arbitrator rules otherwise based on applicable law. The arbitrator shall apply the same standards a court would apply to award any damages, attorney fees or costs allowed by law. This arbitration provision includes all contractual, common-law and statutory claims, including all claims that the Company may have against you, as well as all claims that you may have against the Company (including the Company’s affiliates, officers, directors and employees). Excluded from this mandatory arbitration provision are: (i) claims within the jurisdictional limitation of small claims courts of the state where the claim is submitted for resolution; (ii) claims for workers’ compensation benefits; (iii) claims for unemployment insurance compensation benefits; (iv) sexual harassment claims and (v) to the extent required by law, administrative claims or charges before applicable federal and state administrative agencies </w:t>
      </w:r>
    </w:p>
    <w:p>
      <w:pPr>
        <w:pStyle w:val="TextBody"/>
        <w:bidi w:val="0"/>
        <w:spacing w:lineRule="auto" w:line="319" w:before="0" w:after="0"/>
        <w:jc w:val="righ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Exhibit 10.16.1</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4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1676400" cy="295275"/>
            <wp:effectExtent l="0" t="0" r="0" b="0"/>
            <wp:docPr id="1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 descr=""/>
                    <pic:cNvPicPr>
                      <a:picLocks noChangeAspect="1" noChangeArrowheads="1"/>
                    </pic:cNvPicPr>
                  </pic:nvPicPr>
                  <pic:blipFill>
                    <a:blip r:embed="rId76"/>
                    <a:stretch>
                      <a:fillRect/>
                    </a:stretch>
                  </pic:blipFill>
                  <pic:spPr bwMode="auto">
                    <a:xfrm>
                      <a:off x="0" y="0"/>
                      <a:ext cx="1676400" cy="295275"/>
                    </a:xfrm>
                    <a:prstGeom prst="rect">
                      <a:avLst/>
                    </a:prstGeom>
                  </pic:spPr>
                </pic:pic>
              </a:graphicData>
            </a:graphic>
          </wp:inline>
        </w:drawing>
      </w:r>
    </w:p>
    <w:p>
      <w:pPr>
        <w:pStyle w:val="TextBody"/>
        <w:bidi w:val="0"/>
        <w:spacing w:lineRule="auto" w:line="333" w:before="0" w:after="0"/>
        <w:jc w:val="right"/>
        <w:rPr>
          <w:shd w:fill="FFFFFF" w:val="clear"/>
        </w:rPr>
      </w:pPr>
      <w:r>
        <w:rPr>
          <w:color w:val="000000"/>
          <w:shd w:fill="FFFFFF" w:val="clear"/>
        </w:rPr>
        <w:t>                </w:t>
      </w:r>
      <w:r>
        <w:rPr>
          <w:rFonts w:ascii="Times New Roman;sans-serif" w:hAnsi="Times New Roman;sans-serif"/>
          <w:b w:val="false"/>
          <w:color w:val="000000"/>
          <w:sz w:val="14"/>
          <w:shd w:fill="FFFFFF" w:val="clear"/>
        </w:rPr>
        <w:t>111 E. 18</w:t>
      </w:r>
      <w:r>
        <w:rPr>
          <w:rFonts w:ascii="Times New Roman;sans-serif" w:hAnsi="Times New Roman;sans-serif"/>
          <w:b w:val="false"/>
          <w:color w:val="000000"/>
          <w:sz w:val="9"/>
          <w:shd w:fill="FFFFFF" w:val="clear"/>
        </w:rPr>
        <w:t>th</w:t>
      </w:r>
      <w:r>
        <w:rPr>
          <w:color w:val="000000"/>
          <w:shd w:fill="FFFFFF" w:val="clear"/>
        </w:rPr>
        <w:t xml:space="preserve"> </w:t>
      </w:r>
      <w:r>
        <w:rPr>
          <w:rFonts w:ascii="Times New Roman;sans-serif" w:hAnsi="Times New Roman;sans-serif"/>
          <w:b w:val="false"/>
          <w:color w:val="000000"/>
          <w:sz w:val="14"/>
          <w:shd w:fill="FFFFFF" w:val="clear"/>
        </w:rPr>
        <w:t>St. New York, NY 10003</w:t>
      </w:r>
    </w:p>
    <w:p>
      <w:pPr>
        <w:pStyle w:val="TextBody"/>
        <w:bidi w:val="0"/>
        <w:spacing w:lineRule="auto" w:line="333" w:before="0" w:after="0"/>
        <w:jc w:val="right"/>
        <w:rPr>
          <w:shd w:fill="FFFFFF" w:val="clear"/>
        </w:rPr>
      </w:pPr>
      <w:r>
        <w:rPr>
          <w:color w:val="000000"/>
          <w:shd w:fill="FFFFFF" w:val="clear"/>
        </w:rPr>
        <w:t xml:space="preserve">                                     </w:t>
      </w:r>
      <w:r>
        <w:rPr>
          <w:rFonts w:ascii="Times New Roman;sans-serif" w:hAnsi="Times New Roman;sans-serif"/>
          <w:b w:val="false"/>
          <w:color w:val="000000"/>
          <w:sz w:val="12"/>
          <w:shd w:fill="FFFFFF" w:val="clear"/>
        </w:rPr>
        <w:t>Tel</w:t>
      </w:r>
      <w:r>
        <w:rPr>
          <w:color w:val="000000"/>
          <w:shd w:fill="FFFFFF" w:val="clear"/>
        </w:rPr>
        <w:t xml:space="preserve"> </w:t>
      </w:r>
      <w:r>
        <w:rPr>
          <w:rFonts w:ascii="Times New Roman;sans-serif" w:hAnsi="Times New Roman;sans-serif"/>
          <w:b w:val="false"/>
          <w:color w:val="000000"/>
          <w:sz w:val="14"/>
          <w:shd w:fill="FFFFFF" w:val="clear"/>
        </w:rPr>
        <w:t xml:space="preserve">(212) 431 7464 </w:t>
      </w:r>
      <w:r>
        <w:rPr>
          <w:rFonts w:ascii="Times New Roman;sans-serif" w:hAnsi="Times New Roman;sans-serif"/>
          <w:b w:val="false"/>
          <w:color w:val="000000"/>
          <w:sz w:val="12"/>
          <w:shd w:fill="FFFFFF" w:val="clear"/>
        </w:rPr>
        <w:t>Fax</w:t>
      </w:r>
      <w:r>
        <w:rPr>
          <w:color w:val="000000"/>
          <w:shd w:fill="FFFFFF" w:val="clear"/>
        </w:rPr>
        <w:t xml:space="preserve"> </w:t>
      </w:r>
      <w:r>
        <w:rPr>
          <w:rFonts w:ascii="Times New Roman;sans-serif" w:hAnsi="Times New Roman;sans-serif"/>
          <w:b w:val="false"/>
          <w:color w:val="000000"/>
          <w:sz w:val="14"/>
          <w:shd w:fill="FFFFFF" w:val="clear"/>
        </w:rPr>
        <w:t xml:space="preserve">(212) 431 7461 </w:t>
      </w:r>
      <w:r>
        <w:rPr>
          <w:rFonts w:ascii="Times New Roman;sans-serif" w:hAnsi="Times New Roman;sans-serif"/>
          <w:b w:val="false"/>
          <w:color w:val="EE3322"/>
          <w:sz w:val="14"/>
          <w:shd w:fill="FFFFFF" w:val="clear"/>
        </w:rPr>
        <w:t>buzzfeed.com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20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(such as California’s Department of Fair Employment and Housing, the Equal Employment Opportunity Commission or, and any unfair labor charge which is to be brought under the National Labor Relations Act). Further, the parties agree that claims must be brought in each party’s personal capacity and not as a representative in any class proceeding. THE PARTIES UNDERSTAND AND AGREE THAT THEY ARE WAIVING THEIR RIGHTS TO SUBMIT DISPUTES TO COURT FOR RESOLUTION.</w:t>
      </w:r>
    </w:p>
    <w:p>
      <w:pPr>
        <w:pStyle w:val="TextBody"/>
        <w:bidi w:val="0"/>
        <w:spacing w:lineRule="auto" w:line="319" w:before="200" w:after="283"/>
        <w:jc w:val="both"/>
        <w:rPr>
          <w:shd w:fill="FFFFFF" w:val="clear"/>
        </w:rPr>
      </w:pPr>
      <w:r>
        <w:rPr>
          <w:rFonts w:ascii="Times New Roman;sans-serif" w:hAnsi="Times New Roman;sans-serif"/>
          <w:b w:val="false"/>
          <w:color w:val="000000"/>
          <w:sz w:val="24"/>
          <w:shd w:fill="FFFFFF" w:val="clear"/>
        </w:rPr>
        <w:t xml:space="preserve">11. </w:t>
      </w:r>
      <w:r>
        <w:rPr>
          <w:rFonts w:ascii="Times New Roman;sans-serif" w:hAnsi="Times New Roman;sans-serif"/>
          <w:b/>
          <w:color w:val="000000"/>
          <w:sz w:val="24"/>
          <w:u w:val="single"/>
          <w:shd w:fill="FFFFFF" w:val="clear"/>
        </w:rPr>
        <w:t>Entire Agreement</w:t>
      </w:r>
      <w:r>
        <w:rPr>
          <w:rFonts w:ascii="Times New Roman;sans-serif" w:hAnsi="Times New Roman;sans-serif"/>
          <w:b w:val="false"/>
          <w:color w:val="000000"/>
          <w:sz w:val="24"/>
          <w:shd w:fill="FFFFFF" w:val="clear"/>
        </w:rPr>
        <w:t xml:space="preserve">. This letter agreement, the PIIA and Conflict of Interest Policy 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provided that if any part of the letter agreement is deemed unenforceable, the offending provision or part thereof shall be deemed severed or reformed so as to make the balance of this agreement enforceable. </w:t>
      </w:r>
    </w:p>
    <w:p>
      <w:pPr>
        <w:pStyle w:val="TextBody"/>
        <w:bidi w:val="0"/>
        <w:spacing w:lineRule="auto" w:line="319" w:before="0" w:after="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 * *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319" w:before="0" w:after="0"/>
        <w:jc w:val="righ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Exhibit 10.16.1</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4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1676400" cy="295275"/>
            <wp:effectExtent l="0" t="0" r="0" b="0"/>
            <wp:docPr id="14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 descr=""/>
                    <pic:cNvPicPr>
                      <a:picLocks noChangeAspect="1" noChangeArrowheads="1"/>
                    </pic:cNvPicPr>
                  </pic:nvPicPr>
                  <pic:blipFill>
                    <a:blip r:embed="rId77"/>
                    <a:stretch>
                      <a:fillRect/>
                    </a:stretch>
                  </pic:blipFill>
                  <pic:spPr bwMode="auto">
                    <a:xfrm>
                      <a:off x="0" y="0"/>
                      <a:ext cx="1676400" cy="295275"/>
                    </a:xfrm>
                    <a:prstGeom prst="rect">
                      <a:avLst/>
                    </a:prstGeom>
                  </pic:spPr>
                </pic:pic>
              </a:graphicData>
            </a:graphic>
          </wp:inline>
        </w:drawing>
      </w:r>
    </w:p>
    <w:p>
      <w:pPr>
        <w:pStyle w:val="TextBody"/>
        <w:bidi w:val="0"/>
        <w:spacing w:lineRule="auto" w:line="333" w:before="0" w:after="0"/>
        <w:jc w:val="right"/>
        <w:rPr>
          <w:shd w:fill="FFFFFF" w:val="clear"/>
        </w:rPr>
      </w:pPr>
      <w:r>
        <w:rPr>
          <w:color w:val="000000"/>
          <w:shd w:fill="FFFFFF" w:val="clear"/>
        </w:rPr>
        <w:t>                </w:t>
      </w:r>
      <w:r>
        <w:rPr>
          <w:rFonts w:ascii="Times New Roman;sans-serif" w:hAnsi="Times New Roman;sans-serif"/>
          <w:b w:val="false"/>
          <w:color w:val="000000"/>
          <w:sz w:val="14"/>
          <w:shd w:fill="FFFFFF" w:val="clear"/>
        </w:rPr>
        <w:t>111 E. 18</w:t>
      </w:r>
      <w:r>
        <w:rPr>
          <w:rFonts w:ascii="Times New Roman;sans-serif" w:hAnsi="Times New Roman;sans-serif"/>
          <w:b w:val="false"/>
          <w:color w:val="000000"/>
          <w:sz w:val="9"/>
          <w:shd w:fill="FFFFFF" w:val="clear"/>
        </w:rPr>
        <w:t>th</w:t>
      </w:r>
      <w:r>
        <w:rPr>
          <w:color w:val="000000"/>
          <w:shd w:fill="FFFFFF" w:val="clear"/>
        </w:rPr>
        <w:t xml:space="preserve"> </w:t>
      </w:r>
      <w:r>
        <w:rPr>
          <w:rFonts w:ascii="Times New Roman;sans-serif" w:hAnsi="Times New Roman;sans-serif"/>
          <w:b w:val="false"/>
          <w:color w:val="000000"/>
          <w:sz w:val="14"/>
          <w:shd w:fill="FFFFFF" w:val="clear"/>
        </w:rPr>
        <w:t>St. New York, NY 10003</w:t>
      </w:r>
    </w:p>
    <w:p>
      <w:pPr>
        <w:pStyle w:val="TextBody"/>
        <w:bidi w:val="0"/>
        <w:spacing w:lineRule="auto" w:line="333" w:before="0" w:after="0"/>
        <w:jc w:val="right"/>
        <w:rPr>
          <w:shd w:fill="FFFFFF" w:val="clear"/>
        </w:rPr>
      </w:pPr>
      <w:r>
        <w:rPr>
          <w:color w:val="000000"/>
          <w:shd w:fill="FFFFFF" w:val="clear"/>
        </w:rPr>
        <w:t xml:space="preserve">                                     </w:t>
      </w:r>
      <w:r>
        <w:rPr>
          <w:rFonts w:ascii="Times New Roman;sans-serif" w:hAnsi="Times New Roman;sans-serif"/>
          <w:b w:val="false"/>
          <w:color w:val="000000"/>
          <w:sz w:val="12"/>
          <w:shd w:fill="FFFFFF" w:val="clear"/>
        </w:rPr>
        <w:t>Tel</w:t>
      </w:r>
      <w:r>
        <w:rPr>
          <w:color w:val="000000"/>
          <w:shd w:fill="FFFFFF" w:val="clear"/>
        </w:rPr>
        <w:t xml:space="preserve"> </w:t>
      </w:r>
      <w:r>
        <w:rPr>
          <w:rFonts w:ascii="Times New Roman;sans-serif" w:hAnsi="Times New Roman;sans-serif"/>
          <w:b w:val="false"/>
          <w:color w:val="000000"/>
          <w:sz w:val="14"/>
          <w:shd w:fill="FFFFFF" w:val="clear"/>
        </w:rPr>
        <w:t xml:space="preserve">(212) 431 7464 </w:t>
      </w:r>
      <w:r>
        <w:rPr>
          <w:rFonts w:ascii="Times New Roman;sans-serif" w:hAnsi="Times New Roman;sans-serif"/>
          <w:b w:val="false"/>
          <w:color w:val="000000"/>
          <w:sz w:val="12"/>
          <w:shd w:fill="FFFFFF" w:val="clear"/>
        </w:rPr>
        <w:t>Fax</w:t>
      </w:r>
      <w:r>
        <w:rPr>
          <w:color w:val="000000"/>
          <w:shd w:fill="FFFFFF" w:val="clear"/>
        </w:rPr>
        <w:t xml:space="preserve"> </w:t>
      </w:r>
      <w:r>
        <w:rPr>
          <w:rFonts w:ascii="Times New Roman;sans-serif" w:hAnsi="Times New Roman;sans-serif"/>
          <w:b w:val="false"/>
          <w:color w:val="000000"/>
          <w:sz w:val="14"/>
          <w:shd w:fill="FFFFFF" w:val="clear"/>
        </w:rPr>
        <w:t xml:space="preserve">(212) 431 7461 </w:t>
      </w:r>
      <w:r>
        <w:rPr>
          <w:rFonts w:ascii="Times New Roman;sans-serif" w:hAnsi="Times New Roman;sans-serif"/>
          <w:b w:val="false"/>
          <w:color w:val="EE3322"/>
          <w:sz w:val="14"/>
          <w:shd w:fill="FFFFFF" w:val="clear"/>
        </w:rPr>
        <w:t>buzzfeed.com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We hope that you will accept our offer to join the Company. You may indicate your agreement with these terms and accept this offer by signing this Agreement, the PIIA and Conflict of Interest Policy. This offer expires on September 30, 2019. As required by law, your employment with the Company is contingent upon your providing legal proof of your identity and authorization to work in the United States. Employment is also contingent on satisfactory completion of a background check, as well as upon your starting work with the Company on October 21, 2019 or as otherwise agreed upon in writing by you and the Company.</w:t>
      </w:r>
    </w:p>
    <w:p>
      <w:pPr>
        <w:pStyle w:val="TextBody"/>
        <w:bidi w:val="0"/>
        <w:spacing w:lineRule="auto" w:line="319" w:before="0" w:after="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If you have any questions, please do not hesitate to contact me.</w:t>
      </w:r>
    </w:p>
    <w:p>
      <w:pPr>
        <w:pStyle w:val="TextBody"/>
        <w:bidi w:val="0"/>
        <w:spacing w:lineRule="auto" w:line="319"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Very truly yours,</w:t>
      </w:r>
    </w:p>
    <w:p>
      <w:pPr>
        <w:pStyle w:val="TextBody"/>
        <w:bidi w:val="0"/>
        <w:spacing w:lineRule="auto" w:line="319"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BuzzFeed, Inc.</w:t>
      </w:r>
    </w:p>
    <w:p>
      <w:pPr>
        <w:pStyle w:val="TextBody"/>
        <w:bidi w:val="0"/>
        <w:spacing w:lineRule="auto" w:line="319"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By: _______________________</w:t>
      </w:r>
    </w:p>
    <w:p>
      <w:pPr>
        <w:pStyle w:val="TextBody"/>
        <w:bidi w:val="0"/>
        <w:spacing w:lineRule="auto" w:line="319"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Title: ______________________</w:t>
      </w:r>
    </w:p>
    <w:p>
      <w:pPr>
        <w:pStyle w:val="TextBody"/>
        <w:bidi w:val="0"/>
        <w:spacing w:lineRule="auto" w:line="319"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 have read and accept this employment offer:</w:t>
      </w:r>
    </w:p>
    <w:p>
      <w:pPr>
        <w:pStyle w:val="TextBody"/>
        <w:bidi w:val="0"/>
        <w:spacing w:lineRule="auto" w:line="319" w:before="0" w:after="0"/>
        <w:jc w:val="left"/>
        <w:rPr>
          <w:rFonts w:ascii="Times New Roman;sans-serif" w:hAnsi="Times New Roman;sans-serif"/>
          <w:b w:val="false"/>
          <w:color w:val="000000"/>
          <w:sz w:val="24"/>
          <w:u w:val="single"/>
          <w:shd w:fill="FFFFFF" w:val="clear"/>
        </w:rPr>
      </w:pPr>
      <w:r>
        <w:rPr>
          <w:rFonts w:ascii="Times New Roman;sans-serif" w:hAnsi="Times New Roman;sans-serif"/>
          <w:b w:val="false"/>
          <w:color w:val="000000"/>
          <w:sz w:val="24"/>
          <w:u w:val="single"/>
          <w:shd w:fill="FFFFFF" w:val="clear"/>
        </w:rPr>
        <w:t>{{CANDIDATE_SIGNATURE}}</w:t>
      </w:r>
    </w:p>
    <w:p>
      <w:pPr>
        <w:pStyle w:val="TextBody"/>
        <w:bidi w:val="0"/>
        <w:spacing w:lineRule="auto" w:line="319" w:before="0" w:after="960"/>
        <w:jc w:val="both"/>
        <w:rPr>
          <w:shd w:fill="FFFFFF" w:val="clear"/>
        </w:rPr>
      </w:pPr>
      <w:r>
        <w:rPr>
          <w:rFonts w:ascii="Times New Roman;sans-serif" w:hAnsi="Times New Roman;sans-serif"/>
          <w:b w:val="false"/>
          <w:color w:val="000000"/>
          <w:sz w:val="24"/>
          <w:shd w:fill="FFFFFF" w:val="clear"/>
        </w:rPr>
        <w:t xml:space="preserve">Dated: </w:t>
      </w:r>
      <w:r>
        <w:rPr>
          <w:rFonts w:ascii="Times New Roman;sans-serif" w:hAnsi="Times New Roman;sans-serif"/>
          <w:b w:val="false"/>
          <w:color w:val="000000"/>
          <w:sz w:val="24"/>
          <w:u w:val="single"/>
          <w:shd w:fill="FFFFFF" w:val="clear"/>
        </w:rPr>
        <w:t>{{CANDIDATE_SIGNATURE_DATE}}</w:t>
      </w:r>
    </w:p>
    <w:p>
      <w:pPr>
        <w:pStyle w:val="TextBody"/>
        <w:bidi w:val="0"/>
        <w:spacing w:lineRule="auto" w:line="319" w:before="0" w:after="1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Attachments</w:t>
      </w:r>
    </w:p>
    <w:p>
      <w:pPr>
        <w:pStyle w:val="TextBody"/>
        <w:bidi w:val="0"/>
        <w:spacing w:lineRule="auto" w:line="319" w:before="6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Exhibit A: Proprietary Information and Inventions Agreement</w:t>
      </w:r>
    </w:p>
    <w:p>
      <w:pPr>
        <w:pStyle w:val="TextBody"/>
        <w:bidi w:val="0"/>
        <w:spacing w:lineRule="auto" w:line="319" w:before="60" w:after="283"/>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Exhibit B: Conflict of Interest Policy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4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i/>
          <w:color w:val="000000"/>
          <w:sz w:val="22"/>
        </w:rPr>
      </w:pPr>
      <w:r>
        <w:rPr>
          <w:rFonts w:ascii="Times New Roman;sans-serif" w:hAnsi="Times New Roman;sans-serif"/>
          <w:b/>
          <w:i/>
          <w:color w:val="000000"/>
          <w:sz w:val="22"/>
        </w:rPr>
        <w:t>Exhibit 10.16.2</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Matthew Omer</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October 23, 2023</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Dear Matt,</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Congratulations! I am pleased to inform you that you will be promoted effective November 6, 2023. Please review the following changes:</w:t>
      </w:r>
    </w:p>
    <w:p>
      <w:pPr>
        <w:pStyle w:val="TextBody"/>
        <w:bidi w:val="0"/>
        <w:spacing w:before="0" w:after="0"/>
        <w:jc w:val="left"/>
        <w:rPr/>
      </w:pPr>
      <w:r>
        <w:rPr/>
      </w:r>
    </w:p>
    <w:tbl>
      <w:tblPr>
        <w:tblW w:w="6315" w:type="dxa"/>
        <w:jc w:val="left"/>
        <w:tblInd w:w="0" w:type="dxa"/>
        <w:tblLayout w:type="fixed"/>
        <w:tblCellMar>
          <w:top w:w="28" w:type="dxa"/>
          <w:left w:w="28" w:type="dxa"/>
          <w:bottom w:w="28" w:type="dxa"/>
          <w:right w:w="28" w:type="dxa"/>
        </w:tblCellMar>
      </w:tblPr>
      <w:tblGrid>
        <w:gridCol w:w="495"/>
        <w:gridCol w:w="433"/>
        <w:gridCol w:w="437"/>
        <w:gridCol w:w="804"/>
        <w:gridCol w:w="804"/>
        <w:gridCol w:w="807"/>
        <w:gridCol w:w="740"/>
        <w:gridCol w:w="740"/>
        <w:gridCol w:w="1055"/>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op w:val="dotted" w:sz="8" w:space="0" w:color="FFFFFF"/>
              <w:left w:val="dotted"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left w:val="single" w:sz="8" w:space="0" w:color="000000"/>
            </w:tcBorders>
            <w:shd w:fill="EFEFEF" w:val="clear"/>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Current Details</w:t>
            </w:r>
          </w:p>
        </w:tc>
        <w:tc>
          <w:tcPr>
            <w:tcW w:w="2535" w:type="dxa"/>
            <w:gridSpan w:val="3"/>
            <w:tcBorders>
              <w:top w:val="single" w:sz="8" w:space="0" w:color="000000"/>
              <w:left w:val="single" w:sz="8" w:space="0" w:color="000000"/>
              <w:right w:val="single" w:sz="8" w:space="0" w:color="000000"/>
            </w:tcBorders>
            <w:shd w:fill="EFEFEF" w:val="clear"/>
            <w:tcMar>
              <w:top w:w="30" w:type="dxa"/>
              <w:left w:w="67" w:type="dxa"/>
              <w:bottom w:w="0" w:type="dxa"/>
            </w:tcMar>
            <w:vAlign w:val="center"/>
          </w:tcPr>
          <w:p>
            <w:pPr>
              <w:pStyle w:val="TableContents"/>
              <w:bidi w:val="0"/>
              <w:spacing w:lineRule="auto" w:line="319" w:before="0" w:after="283"/>
              <w:jc w:val="left"/>
              <w:rPr>
                <w:rFonts w:ascii="Arial;sans-serif" w:hAnsi="Arial;sans-serif"/>
                <w:b/>
                <w:i/>
                <w:color w:val="000000"/>
                <w:sz w:val="20"/>
              </w:rPr>
            </w:pPr>
            <w:r>
              <w:rPr>
                <w:rFonts w:ascii="Arial;sans-serif" w:hAnsi="Arial;sans-serif"/>
                <w:b/>
                <w:i/>
                <w:color w:val="000000"/>
                <w:sz w:val="20"/>
              </w:rPr>
              <w:t>New Details</w:t>
            </w:r>
          </w:p>
        </w:tc>
      </w:tr>
      <w:tr>
        <w:trPr/>
        <w:tc>
          <w:tcPr>
            <w:tcW w:w="1365" w:type="dxa"/>
            <w:gridSpan w:val="3"/>
            <w:tcBorders>
              <w:top w:val="dotted"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Base Pay</w:t>
            </w:r>
          </w:p>
        </w:tc>
        <w:tc>
          <w:tcPr>
            <w:tcW w:w="2415" w:type="dxa"/>
            <w:gridSpan w:val="3"/>
            <w:tcBorders>
              <w:top w:val="single"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$350,000.00 USD annually</w:t>
            </w:r>
          </w:p>
        </w:tc>
        <w:tc>
          <w:tcPr>
            <w:tcW w:w="2535" w:type="dxa"/>
            <w:gridSpan w:val="3"/>
            <w:tcBorders>
              <w:top w:val="single" w:sz="8" w:space="0" w:color="000000"/>
              <w:left w:val="dotted" w:sz="8" w:space="0" w:color="000000"/>
              <w:right w:val="dotted" w:sz="8" w:space="0" w:color="000000"/>
            </w:tcBorders>
            <w:tcMar>
              <w:top w:w="30" w:type="dxa"/>
              <w:left w:w="67" w:type="dxa"/>
              <w:bottom w:w="0" w:type="dxa"/>
            </w:tcMar>
            <w:vAlign w:val="center"/>
          </w:tcPr>
          <w:p>
            <w:pPr>
              <w:pStyle w:val="TableContents"/>
              <w:bidi w:val="0"/>
              <w:spacing w:lineRule="auto" w:line="319" w:before="0" w:after="283"/>
              <w:jc w:val="left"/>
              <w:rPr>
                <w:rFonts w:ascii="Arial;sans-serif" w:hAnsi="Arial;sans-serif"/>
                <w:b/>
                <w:i/>
                <w:color w:val="000000"/>
                <w:sz w:val="20"/>
              </w:rPr>
            </w:pPr>
            <w:r>
              <w:rPr>
                <w:rFonts w:ascii="Arial;sans-serif" w:hAnsi="Arial;sans-serif"/>
                <w:b/>
                <w:i/>
                <w:color w:val="000000"/>
                <w:sz w:val="20"/>
              </w:rPr>
              <w:t>$380,000.00 USD annually</w:t>
            </w:r>
          </w:p>
        </w:tc>
      </w:tr>
      <w:tr>
        <w:trPr/>
        <w:tc>
          <w:tcPr>
            <w:tcW w:w="1365" w:type="dxa"/>
            <w:gridSpan w:val="3"/>
            <w:tcBorders>
              <w:top w:val="dotted"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Business Title</w:t>
            </w:r>
          </w:p>
        </w:tc>
        <w:tc>
          <w:tcPr>
            <w:tcW w:w="2415" w:type="dxa"/>
            <w:gridSpan w:val="3"/>
            <w:tcBorders>
              <w:top w:val="dotted"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EVP, Finance</w:t>
            </w:r>
          </w:p>
        </w:tc>
        <w:tc>
          <w:tcPr>
            <w:tcW w:w="2535" w:type="dxa"/>
            <w:gridSpan w:val="3"/>
            <w:tcBorders>
              <w:top w:val="dotted" w:sz="8" w:space="0" w:color="000000"/>
              <w:left w:val="dotted" w:sz="8" w:space="0" w:color="000000"/>
              <w:right w:val="dotted" w:sz="8" w:space="0" w:color="000000"/>
            </w:tcBorders>
            <w:tcMar>
              <w:top w:w="30" w:type="dxa"/>
              <w:left w:w="67" w:type="dxa"/>
              <w:bottom w:w="0" w:type="dxa"/>
            </w:tcMar>
            <w:vAlign w:val="center"/>
          </w:tcPr>
          <w:p>
            <w:pPr>
              <w:pStyle w:val="TableContents"/>
              <w:bidi w:val="0"/>
              <w:spacing w:lineRule="auto" w:line="319" w:before="0" w:after="283"/>
              <w:jc w:val="left"/>
              <w:rPr>
                <w:rFonts w:ascii="Arial;sans-serif" w:hAnsi="Arial;sans-serif"/>
                <w:b/>
                <w:i/>
                <w:color w:val="000000"/>
                <w:sz w:val="20"/>
              </w:rPr>
            </w:pPr>
            <w:r>
              <w:rPr>
                <w:rFonts w:ascii="Arial;sans-serif" w:hAnsi="Arial;sans-serif"/>
                <w:b/>
                <w:i/>
                <w:color w:val="000000"/>
                <w:sz w:val="20"/>
              </w:rPr>
              <w:t>Chief Financial Officer</w:t>
            </w:r>
          </w:p>
        </w:tc>
      </w:tr>
      <w:tr>
        <w:trPr/>
        <w:tc>
          <w:tcPr>
            <w:tcW w:w="1365" w:type="dxa"/>
            <w:gridSpan w:val="3"/>
            <w:tcBorders>
              <w:top w:val="dotted"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Level</w:t>
            </w:r>
          </w:p>
        </w:tc>
        <w:tc>
          <w:tcPr>
            <w:tcW w:w="2415" w:type="dxa"/>
            <w:gridSpan w:val="3"/>
            <w:tcBorders>
              <w:top w:val="dotted"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12</w:t>
            </w:r>
          </w:p>
        </w:tc>
        <w:tc>
          <w:tcPr>
            <w:tcW w:w="2535" w:type="dxa"/>
            <w:gridSpan w:val="3"/>
            <w:tcBorders>
              <w:top w:val="dotted" w:sz="8" w:space="0" w:color="000000"/>
              <w:left w:val="dotted" w:sz="8" w:space="0" w:color="000000"/>
              <w:right w:val="dotted" w:sz="8" w:space="0" w:color="000000"/>
            </w:tcBorders>
            <w:tcMar>
              <w:top w:w="30" w:type="dxa"/>
              <w:left w:w="67" w:type="dxa"/>
              <w:bottom w:w="0" w:type="dxa"/>
            </w:tcMar>
            <w:vAlign w:val="center"/>
          </w:tcPr>
          <w:p>
            <w:pPr>
              <w:pStyle w:val="TableContents"/>
              <w:bidi w:val="0"/>
              <w:spacing w:lineRule="auto" w:line="319" w:before="0" w:after="283"/>
              <w:jc w:val="left"/>
              <w:rPr>
                <w:rFonts w:ascii="Arial;sans-serif" w:hAnsi="Arial;sans-serif"/>
                <w:b/>
                <w:i/>
                <w:color w:val="000000"/>
                <w:sz w:val="20"/>
              </w:rPr>
            </w:pPr>
            <w:r>
              <w:rPr>
                <w:rFonts w:ascii="Arial;sans-serif" w:hAnsi="Arial;sans-serif"/>
                <w:b/>
                <w:i/>
                <w:color w:val="000000"/>
                <w:sz w:val="20"/>
              </w:rPr>
              <w:t>13</w:t>
            </w:r>
          </w:p>
        </w:tc>
      </w:tr>
      <w:tr>
        <w:trPr/>
        <w:tc>
          <w:tcPr>
            <w:tcW w:w="1365" w:type="dxa"/>
            <w:gridSpan w:val="3"/>
            <w:tcBorders>
              <w:top w:val="dotted"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Manager</w:t>
            </w:r>
          </w:p>
        </w:tc>
        <w:tc>
          <w:tcPr>
            <w:tcW w:w="2415" w:type="dxa"/>
            <w:gridSpan w:val="3"/>
            <w:tcBorders>
              <w:top w:val="dotted" w:sz="8" w:space="0" w:color="000000"/>
              <w:left w:val="dotted" w:sz="8" w:space="0" w:color="000000"/>
            </w:tcBorders>
            <w:tcMar>
              <w:top w:w="30" w:type="dxa"/>
              <w:left w:w="67"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Felicia DellaFortuna</w:t>
            </w:r>
          </w:p>
        </w:tc>
        <w:tc>
          <w:tcPr>
            <w:tcW w:w="2535" w:type="dxa"/>
            <w:gridSpan w:val="3"/>
            <w:tcBorders>
              <w:top w:val="dotted" w:sz="8" w:space="0" w:color="000000"/>
              <w:left w:val="dotted" w:sz="8" w:space="0" w:color="000000"/>
              <w:right w:val="dotted" w:sz="8" w:space="0" w:color="000000"/>
            </w:tcBorders>
            <w:tcMar>
              <w:top w:w="30" w:type="dxa"/>
              <w:left w:w="67" w:type="dxa"/>
              <w:bottom w:w="0" w:type="dxa"/>
            </w:tcMar>
            <w:vAlign w:val="center"/>
          </w:tcPr>
          <w:p>
            <w:pPr>
              <w:pStyle w:val="TableContents"/>
              <w:bidi w:val="0"/>
              <w:spacing w:lineRule="auto" w:line="319" w:before="0" w:after="283"/>
              <w:jc w:val="left"/>
              <w:rPr>
                <w:rFonts w:ascii="Arial;sans-serif" w:hAnsi="Arial;sans-serif"/>
                <w:b/>
                <w:i/>
                <w:color w:val="000000"/>
                <w:sz w:val="20"/>
              </w:rPr>
            </w:pPr>
            <w:r>
              <w:rPr>
                <w:rFonts w:ascii="Arial;sans-serif" w:hAnsi="Arial;sans-serif"/>
                <w:b/>
                <w:i/>
                <w:color w:val="000000"/>
                <w:sz w:val="20"/>
              </w:rPr>
              <w:t>Marcela Martin</w:t>
            </w:r>
          </w:p>
        </w:tc>
      </w:tr>
      <w:tr>
        <w:trPr/>
        <w:tc>
          <w:tcPr>
            <w:tcW w:w="1365" w:type="dxa"/>
            <w:gridSpan w:val="3"/>
            <w:tcBorders>
              <w:top w:val="dotted" w:sz="8" w:space="0" w:color="000000"/>
              <w:left w:val="dotted" w:sz="8" w:space="0" w:color="000000"/>
              <w:bottom w:val="dotted" w:sz="8" w:space="0" w:color="000000"/>
            </w:tcBorders>
            <w:tcMar>
              <w:top w:w="30" w:type="dxa"/>
              <w:left w:w="67"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Bonus Target</w:t>
            </w:r>
          </w:p>
        </w:tc>
        <w:tc>
          <w:tcPr>
            <w:tcW w:w="2415" w:type="dxa"/>
            <w:gridSpan w:val="3"/>
            <w:tcBorders>
              <w:top w:val="dotted" w:sz="8" w:space="0" w:color="000000"/>
              <w:left w:val="dotted" w:sz="8" w:space="0" w:color="000000"/>
              <w:bottom w:val="dotted" w:sz="8" w:space="0" w:color="000000"/>
            </w:tcBorders>
            <w:tcMar>
              <w:top w:w="30" w:type="dxa"/>
              <w:left w:w="67"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40%</w:t>
            </w:r>
          </w:p>
        </w:tc>
        <w:tc>
          <w:tcPr>
            <w:tcW w:w="2535" w:type="dxa"/>
            <w:gridSpan w:val="3"/>
            <w:tcBorders>
              <w:top w:val="dotted" w:sz="8" w:space="0" w:color="000000"/>
              <w:left w:val="dotted" w:sz="8" w:space="0" w:color="000000"/>
              <w:bottom w:val="dotted" w:sz="8" w:space="0" w:color="000000"/>
              <w:right w:val="dotted" w:sz="8" w:space="0" w:color="000000"/>
            </w:tcBorders>
            <w:tcMar>
              <w:top w:w="30" w:type="dxa"/>
              <w:left w:w="67" w:type="dxa"/>
              <w:bottom w:w="30" w:type="dxa"/>
            </w:tcMar>
            <w:vAlign w:val="center"/>
          </w:tcPr>
          <w:p>
            <w:pPr>
              <w:pStyle w:val="TableContents"/>
              <w:bidi w:val="0"/>
              <w:spacing w:lineRule="auto" w:line="319" w:before="0" w:after="283"/>
              <w:jc w:val="left"/>
              <w:rPr>
                <w:rFonts w:ascii="Arial;sans-serif" w:hAnsi="Arial;sans-serif"/>
                <w:b/>
                <w:i/>
                <w:color w:val="000000"/>
                <w:sz w:val="20"/>
              </w:rPr>
            </w:pPr>
            <w:r>
              <w:rPr>
                <w:rFonts w:ascii="Arial;sans-serif" w:hAnsi="Arial;sans-serif"/>
                <w:b/>
                <w:i/>
                <w:color w:val="000000"/>
                <w:sz w:val="20"/>
              </w:rPr>
              <w:t>50%</w:t>
            </w:r>
          </w:p>
        </w:tc>
      </w:tr>
    </w:tbl>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u w:val="single"/>
        </w:rPr>
      </w:pPr>
      <w:r>
        <w:rPr>
          <w:rFonts w:ascii="Arial;sans-serif" w:hAnsi="Arial;sans-serif"/>
          <w:b w:val="false"/>
          <w:color w:val="000000"/>
          <w:sz w:val="22"/>
          <w:u w:val="single"/>
        </w:rPr>
        <w:t>Sign-On Bonus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In addition to your annual corporate bonus eligibility, you will receive a total sign-on bonus of $160,000 spread over four quarters with the first $40,000 payable on 12/31/23. The remaining three $40,000 installments will be payable each quarter thereafter, specifically on the payment dates of 3/31/24, 6/30/24,and 9/30/24. You will receive each sign-on bonus installment contingent upon your continued employment on each payment date. If your employment ends with the Company involuntarily for any reason except for cause, you will receive any remaining unpaid sign-on bonus installments. If you leave the Company voluntarily or are terminated for cause, you are required to pay the portion of sign-on bonus which has been paid to you within thirty days of your termination date. This sign-on bonus will not impact your eligibility for either a deal close (sale of BuzzFeed business or business(es)) bonus or your annual corporate bonus eligibility.</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u w:val="single"/>
        </w:rPr>
      </w:pPr>
      <w:r>
        <w:rPr>
          <w:rFonts w:ascii="Arial;sans-serif" w:hAnsi="Arial;sans-serif"/>
          <w:b w:val="false"/>
          <w:color w:val="000000"/>
          <w:sz w:val="22"/>
          <w:u w:val="single"/>
        </w:rPr>
        <w:t>Annual Corporate Bonus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Your bonus eligibility for each year will be based on 50% of your base salary as of January 1st of the plan year. For example, your bonus eligibility for plan year 2023 payable in March 2024 is based on your January 1, 2023 base pay. Any award will be determined through a combination of overall BuzzFeed performance and your own individual goals and competencies. Determinations as to the achievement of Bonus Compensation targets will be in the sole discretion of the Company.</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u w:val="single"/>
        </w:rPr>
      </w:pPr>
      <w:r>
        <w:rPr>
          <w:rFonts w:ascii="Arial;sans-serif" w:hAnsi="Arial;sans-serif"/>
          <w:b w:val="false"/>
          <w:color w:val="000000"/>
          <w:sz w:val="22"/>
          <w:u w:val="single"/>
        </w:rPr>
        <w:t>One-Time Grant</w:t>
      </w:r>
    </w:p>
    <w:p>
      <w:pPr>
        <w:pStyle w:val="TextBody"/>
        <w:bidi w:val="0"/>
        <w:spacing w:lineRule="auto" w:line="319"/>
        <w:jc w:val="left"/>
        <w:rPr>
          <w:rFonts w:ascii="Arial;sans-serif" w:hAnsi="Arial;sans-serif"/>
          <w:b w:val="false"/>
          <w:color w:val="000000"/>
          <w:sz w:val="22"/>
        </w:rPr>
      </w:pPr>
      <w:r>
        <w:rPr>
          <w:rFonts w:ascii="Arial;sans-serif" w:hAnsi="Arial;sans-serif"/>
          <w:b w:val="false"/>
          <w:color w:val="000000"/>
          <w:sz w:val="22"/>
        </w:rPr>
        <w:t xml:space="preserve">Subject to the approval of the Board or its Compensation Committee, you will be granted a Restricted Stock Unit award of a number of shares of the Company’s Common Stock (the “RSU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4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i/>
          <w:color w:val="000000"/>
          <w:sz w:val="22"/>
        </w:rPr>
      </w:pPr>
      <w:r>
        <w:rPr>
          <w:rFonts w:ascii="Times New Roman;sans-serif" w:hAnsi="Times New Roman;sans-serif"/>
          <w:b/>
          <w:i/>
          <w:color w:val="000000"/>
          <w:sz w:val="22"/>
        </w:rPr>
        <w:t>Exhibit 10.16.2</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Award”) equal in value to $600,000. This one-time RSU grant will vest equally over 8 quarters beginning January 1, 2024. The RSUs will be subject to the terms and conditions applicable to RSUs granted under the Company’s 2021 Equity Incentive Plan (the “Plan”), as described in the Plan and the Restricted Stock Unit Agreement (the “RSU Agreement”).</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Nothing else regarding your employment is changing at this time; your employment with the Company continues to be subject to your Offer of Employment and PIIA. This letter constitutes the entire agreement between you and the Company regarding the subject matter of this letter, and it replaces and supersedes any other agreements, representations or understandings between you and the Company regarding its subject matter.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Best,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Chandler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560"/>
        <w:ind w:left="0" w:right="0" w:hanging="720"/>
        <w:jc w:val="right"/>
        <w:rPr>
          <w:rFonts w:ascii="Times New Roman;sans-serif" w:hAnsi="Times New Roman;sans-serif"/>
          <w:b/>
          <w:i/>
          <w:color w:val="000000"/>
          <w:sz w:val="22"/>
        </w:rPr>
      </w:pPr>
      <w:r>
        <w:rPr>
          <w:rFonts w:ascii="Times New Roman;sans-serif" w:hAnsi="Times New Roman;sans-serif"/>
          <w:b/>
          <w:i/>
          <w:color w:val="000000"/>
          <w:sz w:val="22"/>
        </w:rPr>
        <w:t>Exhibit 10.24</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4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PORTIONS OF THIS EXHIBIT HAVE BEEN REDACTED.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CERTAIN IDENTIFIED INFORMATION HAS BEEN EXCLUDED FROM THIS EXHIBIT BECAUSE IT IS BOTH (i) NOT MATERIAL AND (ii) WOULD BE LIKELY TO CAUSE COMPETITIVE HARM IF PUBLICLY DISCLOSED.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REDACTED MATERIAL IS MARKED WITH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LICENSE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BETWEEN</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    </w:t>
      </w:r>
      <w:r>
        <w:rPr>
          <w:rFonts w:ascii="Times New Roman;sans-serif" w:hAnsi="Times New Roman;sans-serif"/>
          <w:b/>
          <w:color w:val="000000"/>
          <w:sz w:val="20"/>
        </w:rPr>
        <w:t xml:space="preserve">BuzzFeed Media Enterprises, Inc. </w:t>
      </w:r>
      <w:r>
        <w:rPr>
          <w:rFonts w:ascii="Times New Roman;sans-serif" w:hAnsi="Times New Roman;sans-serif"/>
          <w:b w:val="false"/>
          <w:color w:val="000000"/>
          <w:sz w:val="20"/>
        </w:rPr>
        <w:t>(“</w:t>
      </w:r>
      <w:r>
        <w:rPr>
          <w:rFonts w:ascii="Times New Roman;sans-serif" w:hAnsi="Times New Roman;sans-serif"/>
          <w:b/>
          <w:color w:val="000000"/>
          <w:sz w:val="20"/>
        </w:rPr>
        <w:t>BuzzFeed</w:t>
      </w:r>
      <w:r>
        <w:rPr>
          <w:color w:val="000000"/>
        </w:rPr>
        <w:t>”</w:t>
      </w:r>
      <w:r>
        <w:rPr>
          <w:rFonts w:ascii="Times New Roman;sans-serif" w:hAnsi="Times New Roman;sans-serif"/>
          <w:b w:val="false"/>
          <w:color w:val="000000"/>
          <w:sz w:val="20"/>
        </w:rPr>
        <w:t>)</w:t>
      </w:r>
      <w:r>
        <w:rPr>
          <w:rFonts w:ascii="Times New Roman;sans-serif" w:hAnsi="Times New Roman;sans-serif"/>
          <w:b/>
          <w:color w:val="000000"/>
          <w:sz w:val="20"/>
        </w:rPr>
        <w:t xml:space="preserve">, </w:t>
      </w:r>
      <w:r>
        <w:rPr>
          <w:rFonts w:ascii="Times New Roman;sans-serif" w:hAnsi="Times New Roman;sans-serif"/>
          <w:b w:val="false"/>
          <w:color w:val="000000"/>
          <w:sz w:val="20"/>
        </w:rPr>
        <w:t>a Delaware corporation with its principal place of business located at 229 W 43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Street,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Floor, New York, New York, United States, </w:t>
      </w:r>
      <w:r>
        <w:rPr>
          <w:rFonts w:ascii="Times New Roman;sans-serif" w:hAnsi="Times New Roman;sans-serif"/>
          <w:b/>
          <w:color w:val="000000"/>
          <w:sz w:val="20"/>
        </w:rPr>
        <w:t xml:space="preserve">BuzzFeed UK Ltd. </w:t>
      </w:r>
      <w:r>
        <w:rPr>
          <w:rFonts w:ascii="Times New Roman;sans-serif" w:hAnsi="Times New Roman;sans-serif"/>
          <w:b w:val="false"/>
          <w:color w:val="000000"/>
          <w:sz w:val="20"/>
        </w:rPr>
        <w:t>(“</w:t>
      </w:r>
      <w:r>
        <w:rPr>
          <w:rFonts w:ascii="Times New Roman;sans-serif" w:hAnsi="Times New Roman;sans-serif"/>
          <w:b/>
          <w:color w:val="000000"/>
          <w:sz w:val="20"/>
        </w:rPr>
        <w:t>BuzzFeed UK</w:t>
      </w:r>
      <w:r>
        <w:rPr>
          <w:color w:val="000000"/>
        </w:rPr>
        <w:t>”</w:t>
      </w:r>
      <w:r>
        <w:rPr>
          <w:rFonts w:ascii="Times New Roman;sans-serif" w:hAnsi="Times New Roman;sans-serif"/>
          <w:b w:val="false"/>
          <w:color w:val="000000"/>
          <w:sz w:val="20"/>
        </w:rPr>
        <w:t>)</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a United Kingdom corporation with its principal place of business located at 5 New Street Square, London, United Kingdom, EC4A 3TW, and </w:t>
      </w:r>
      <w:r>
        <w:rPr>
          <w:rFonts w:ascii="Times New Roman;sans-serif" w:hAnsi="Times New Roman;sans-serif"/>
          <w:b/>
          <w:color w:val="000000"/>
          <w:sz w:val="20"/>
        </w:rPr>
        <w:t>TheHuffingtonPost.com, Inc.</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HPUK</w:t>
      </w:r>
      <w:r>
        <w:rPr>
          <w:color w:val="000000"/>
        </w:rPr>
        <w:t>”</w:t>
      </w:r>
      <w:r>
        <w:rPr>
          <w:rFonts w:ascii="Times New Roman;sans-serif" w:hAnsi="Times New Roman;sans-serif"/>
          <w:b w:val="false"/>
          <w:color w:val="000000"/>
          <w:sz w:val="20"/>
        </w:rPr>
        <w:t>), a Delaware corporation with its principal place of business located at 229 W 43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Street,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New York, New York, United States (collectively, the “</w:t>
      </w:r>
      <w:r>
        <w:rPr>
          <w:rFonts w:ascii="Times New Roman;sans-serif" w:hAnsi="Times New Roman;sans-serif"/>
          <w:b/>
          <w:color w:val="000000"/>
          <w:sz w:val="20"/>
        </w:rPr>
        <w:t>BuzzFeed Parties</w:t>
      </w:r>
      <w:r>
        <w:rPr>
          <w:color w:val="000000"/>
        </w:rPr>
        <w:t>”</w:t>
      </w:r>
      <w:r>
        <w:rPr>
          <w:rFonts w:ascii="Times New Roman;sans-serif" w:hAnsi="Times New Roman;sans-serif"/>
          <w:b w:val="false"/>
          <w:color w:val="000000"/>
          <w:sz w:val="20"/>
        </w:rPr>
        <w:t xml:space="preserve">), </w:t>
      </w:r>
    </w:p>
    <w:p>
      <w:pPr>
        <w:pStyle w:val="TextBody"/>
        <w:bidi w:val="0"/>
        <w:spacing w:lineRule="auto" w:line="393" w:before="0" w:after="0"/>
        <w:jc w:val="left"/>
        <w:rPr>
          <w:rFonts w:ascii="Times New Roman;sans-serif" w:hAnsi="Times New Roman;sans-serif"/>
          <w:b/>
          <w:color w:val="000000"/>
          <w:sz w:val="20"/>
        </w:rPr>
      </w:pPr>
      <w:r>
        <w:rPr>
          <w:rFonts w:ascii="Times New Roman;sans-serif" w:hAnsi="Times New Roman;sans-serif"/>
          <w:b/>
          <w:color w:val="000000"/>
          <w:sz w:val="20"/>
        </w:rPr>
        <w:t>AND</w:t>
      </w:r>
    </w:p>
    <w:p>
      <w:pPr>
        <w:pStyle w:val="TextBody"/>
        <w:bidi w:val="0"/>
        <w:spacing w:lineRule="auto" w:line="288" w:before="0" w:after="280"/>
        <w:ind w:left="0" w:right="0" w:hanging="360"/>
        <w:jc w:val="left"/>
        <w:rPr/>
      </w:pPr>
      <w:r>
        <w:rPr>
          <w:rFonts w:ascii="Times New Roman;sans-serif" w:hAnsi="Times New Roman;sans-serif"/>
          <w:b w:val="false"/>
          <w:color w:val="000000"/>
          <w:sz w:val="20"/>
        </w:rPr>
        <w:t>(2)    </w:t>
      </w:r>
      <w:r>
        <w:rPr>
          <w:rFonts w:ascii="Times New Roman;sans-serif" w:hAnsi="Times New Roman;sans-serif"/>
          <w:b/>
          <w:color w:val="000000"/>
          <w:sz w:val="20"/>
        </w:rPr>
        <w:t xml:space="preserve">Independent Digital News and Media Limited, </w:t>
      </w:r>
      <w:r>
        <w:rPr>
          <w:rFonts w:ascii="Times New Roman;sans-serif" w:hAnsi="Times New Roman;sans-serif"/>
          <w:b w:val="false"/>
          <w:color w:val="000000"/>
          <w:sz w:val="20"/>
        </w:rPr>
        <w:t>a company organized under the laws of the United Kingdom, and having its place of business at Alphabeta Building, 14-18 Finsbury Square, London, EC2A 1AH (“</w:t>
      </w:r>
      <w:r>
        <w:rPr>
          <w:rFonts w:ascii="Times New Roman;sans-serif" w:hAnsi="Times New Roman;sans-serif"/>
          <w:b/>
          <w:color w:val="000000"/>
          <w:sz w:val="20"/>
        </w:rPr>
        <w:t>IDNM</w:t>
      </w:r>
      <w:r>
        <w:rPr>
          <w:color w:val="000000"/>
        </w:rPr>
        <w:t>”</w:t>
      </w:r>
      <w:r>
        <w:rPr>
          <w:rFonts w:ascii="Times New Roman;sans-serif" w:hAnsi="Times New Roman;sans-serif"/>
          <w:b/>
          <w:color w:val="000000"/>
          <w:sz w:val="20"/>
        </w:rPr>
        <w:t>)</w:t>
      </w:r>
      <w:r>
        <w:rPr>
          <w:rFonts w:ascii="Times New Roman;sans-serif" w:hAnsi="Times New Roman;sans-serif"/>
          <w:b w:val="false"/>
          <w:color w:val="000000"/>
          <w:sz w:val="20"/>
        </w:rPr>
        <w:t>.</w:t>
      </w:r>
    </w:p>
    <w:p>
      <w:pPr>
        <w:pStyle w:val="TextBody"/>
        <w:bidi w:val="0"/>
        <w:spacing w:lineRule="auto" w:line="288" w:before="0" w:after="280"/>
        <w:jc w:val="left"/>
        <w:rPr/>
      </w:pPr>
      <w:r>
        <w:rPr>
          <w:rFonts w:ascii="Times New Roman;sans-serif" w:hAnsi="Times New Roman;sans-serif"/>
          <w:b w:val="false"/>
          <w:color w:val="000000"/>
          <w:sz w:val="20"/>
        </w:rPr>
        <w:t>The BuzzFeed Parties and IDNM are hereinafter collectively referred to as the “</w:t>
      </w:r>
      <w:r>
        <w:rPr>
          <w:rFonts w:ascii="Times New Roman;sans-serif" w:hAnsi="Times New Roman;sans-serif"/>
          <w:b/>
          <w:color w:val="000000"/>
          <w:sz w:val="20"/>
        </w:rPr>
        <w:t>Parties</w:t>
      </w:r>
      <w:r>
        <w:rPr>
          <w:color w:val="000000"/>
        </w:rPr>
        <w:t xml:space="preserve">” </w:t>
      </w:r>
      <w:r>
        <w:rPr>
          <w:rFonts w:ascii="Times New Roman;sans-serif" w:hAnsi="Times New Roman;sans-serif"/>
          <w:b w:val="false"/>
          <w:color w:val="000000"/>
          <w:sz w:val="20"/>
        </w:rPr>
        <w:t>and individually as a “</w:t>
      </w:r>
      <w:r>
        <w:rPr>
          <w:rFonts w:ascii="Times New Roman;sans-serif" w:hAnsi="Times New Roman;sans-serif"/>
          <w:b/>
          <w:color w:val="000000"/>
          <w:sz w:val="20"/>
        </w:rPr>
        <w:t>Party</w:t>
      </w:r>
      <w:r>
        <w:rPr>
          <w:color w:val="000000"/>
        </w:rPr>
        <w:t>”</w:t>
      </w:r>
      <w:r>
        <w:rPr>
          <w:rFonts w:ascii="Times New Roman;sans-serif" w:hAnsi="Times New Roman;sans-serif"/>
          <w:b w:val="false"/>
          <w:color w:val="000000"/>
          <w:sz w:val="20"/>
        </w:rPr>
        <w:t>. Where an obligation is accepted by the BuzzFeed Parties collectively under this Agreement, such obligation is undertaken jointly and severally so that each of them is liable in respect of such obligation. Where an obligation is accepted by a particular BuzzFeed Party under this Agreement, the other BuzzFeed Parties shall have no liability in respect of the performance of that obligation.</w:t>
      </w:r>
    </w:p>
    <w:p>
      <w:pPr>
        <w:pStyle w:val="TextBody"/>
        <w:bidi w:val="0"/>
        <w:spacing w:lineRule="auto" w:line="288" w:before="0" w:after="2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PREAMBLE:</w:t>
      </w:r>
    </w:p>
    <w:p>
      <w:pPr>
        <w:pStyle w:val="TextBody"/>
        <w:bidi w:val="0"/>
        <w:spacing w:lineRule="auto" w:line="288" w:before="0" w:after="0"/>
        <w:jc w:val="both"/>
        <w:rPr/>
      </w:pPr>
      <w:r>
        <w:rPr>
          <w:rFonts w:ascii="Times New Roman;sans-serif" w:hAnsi="Times New Roman;sans-serif"/>
          <w:b w:val="false"/>
          <w:color w:val="000000"/>
          <w:sz w:val="20"/>
        </w:rPr>
        <w:t>The BuzzFeed Parties own or have certain rights to Intellectual Property and BuzzFeed Content used in connection with the business operations of BuzzFeed UK, which operations involve the publication and distribution of entertainment and journalistic content, in the United Kingdom and Ireland, through its own contributors as well as the reporting of third parties, in the form of words, images, videos and sound. The BuzzFeed Parties agree to grant to IDNM a license to use the Intellectual Property and the BuzzFeed Content under the terms and conditions set out in this License Agreement dated as of March 20, 2024 between the Parties (this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and IDNM agrees to receive such a license from the BuzzFeed Parties on such terms and conditions.</w:t>
      </w:r>
    </w:p>
    <w:p>
      <w:pPr>
        <w:pStyle w:val="TextBody"/>
        <w:bidi w:val="0"/>
        <w:spacing w:before="0" w:after="0"/>
        <w:jc w:val="both"/>
        <w:rPr/>
      </w:pPr>
      <w:r>
        <w:rPr/>
      </w:r>
    </w:p>
    <w:p>
      <w:pPr>
        <w:pStyle w:val="TextBody"/>
        <w:bidi w:val="0"/>
        <w:spacing w:lineRule="auto" w:line="288" w:before="0" w:after="280"/>
        <w:jc w:val="both"/>
        <w:rPr>
          <w:rFonts w:ascii="Times New Roman;sans-serif" w:hAnsi="Times New Roman;sans-serif"/>
          <w:b/>
          <w:color w:val="000000"/>
          <w:sz w:val="20"/>
          <w:u w:val="single"/>
        </w:rPr>
      </w:pPr>
      <w:r>
        <w:rPr>
          <w:rFonts w:ascii="Times New Roman;sans-serif" w:hAnsi="Times New Roman;sans-serif"/>
          <w:b/>
          <w:color w:val="000000"/>
          <w:sz w:val="20"/>
          <w:u w:val="single"/>
        </w:rPr>
        <w:t>THE PARTIES AGREE AS FOLLOWS: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     Interpretation</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1.1    </w:t>
      </w:r>
      <w:r>
        <w:rPr>
          <w:rFonts w:ascii="Times New Roman;sans-serif" w:hAnsi="Times New Roman;sans-serif"/>
          <w:b/>
          <w:color w:val="000000"/>
          <w:sz w:val="20"/>
        </w:rPr>
        <w:t>Definitions</w:t>
      </w:r>
    </w:p>
    <w:p>
      <w:pPr>
        <w:pStyle w:val="TextBody"/>
        <w:bidi w:val="0"/>
        <w:spacing w:lineRule="auto" w:line="288" w:before="0" w:after="200"/>
        <w:jc w:val="both"/>
        <w:rPr/>
      </w:pPr>
      <w:r>
        <w:rPr>
          <w:rFonts w:ascii="Times New Roman;sans-serif" w:hAnsi="Times New Roman;sans-serif"/>
          <w:b w:val="false"/>
          <w:color w:val="000000"/>
          <w:sz w:val="20"/>
        </w:rPr>
        <w:t xml:space="preserve">Defined terms shall have the meaning ascribed or referenced to them in </w:t>
      </w:r>
      <w:r>
        <w:rPr>
          <w:rFonts w:ascii="Times New Roman;sans-serif" w:hAnsi="Times New Roman;sans-serif"/>
          <w:b w:val="false"/>
          <w:color w:val="000000"/>
          <w:sz w:val="20"/>
          <w:u w:val="single"/>
        </w:rPr>
        <w:t>Schedule 1.1</w:t>
      </w:r>
      <w:r>
        <w:rPr>
          <w:rFonts w:ascii="Times New Roman;sans-serif" w:hAnsi="Times New Roman;sans-serif"/>
          <w:b w:val="false"/>
          <w:color w:val="000000"/>
          <w:sz w:val="20"/>
        </w:rPr>
        <w: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1.2    </w:t>
      </w:r>
      <w:r>
        <w:rPr>
          <w:rFonts w:ascii="Times New Roman;sans-serif" w:hAnsi="Times New Roman;sans-serif"/>
          <w:b/>
          <w:color w:val="000000"/>
          <w:sz w:val="20"/>
        </w:rPr>
        <w:t>Schedule and Clauses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to this Agreement shall include reference to any Schedules to it. References to Clauses and Schedules are references to Clauses and Schedules to this Agreement.</w:t>
      </w:r>
    </w:p>
    <w:p>
      <w:pPr>
        <w:pStyle w:val="TextBody"/>
        <w:bidi w:val="0"/>
        <w:spacing w:before="120" w:after="120"/>
        <w:jc w:val="both"/>
        <w:rPr/>
      </w:pPr>
      <w:r>
        <w:rPr/>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85445"/>
                <wp:effectExtent l="0" t="0" r="0" b="0"/>
                <wp:wrapNone/>
                <wp:docPr id="150"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1 – License for Trademarks, Social Media Accounts and Websites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2.    Grants of Rights</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2.1    In consideration of IDNM’s license of the Intellectual Property and the BuzzFeed Content pursuant to this Agreement, and the Services (as defined in the IT Services Agreement) provided to IDNM by BuzzFeed, IDNM agrees to pay the License Fee and any other fees payable pursuant to the Principal Transaction Agreements, and comply with the terms of this Agreement.</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2.2    IDNM acknowledges that the BuzzFeed Parties shall retain all rights, title and interest in and to the Intellectual Property and BuzzFeed Content that they currently have or may acquire in the future, subject to the limited rights granted to IDNM under this Agreement. </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 xml:space="preserve">2.3    Each Trademark that is included within the Intellectual Property under this Agreement is listed under </w:t>
      </w:r>
      <w:r>
        <w:rPr>
          <w:rFonts w:ascii="Times New Roman;sans-serif" w:hAnsi="Times New Roman;sans-serif"/>
          <w:b w:val="false"/>
          <w:color w:val="000000"/>
          <w:sz w:val="20"/>
          <w:u w:val="single"/>
        </w:rPr>
        <w:t>Schedule 1.2</w:t>
      </w:r>
      <w:r>
        <w:rPr>
          <w:color w:val="000000"/>
        </w:rPr>
        <w:t xml:space="preserve"> </w:t>
      </w:r>
      <w:r>
        <w:rPr>
          <w:rFonts w:ascii="Times New Roman;sans-serif" w:hAnsi="Times New Roman;sans-serif"/>
          <w:b w:val="false"/>
          <w:color w:val="000000"/>
          <w:sz w:val="20"/>
        </w:rPr>
        <w:t>and such Schedule shall be updated to include any additional trademarks that are approved by any of the BuzzFeed Parties during the Term.</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 xml:space="preserve">2.4    Each Social Media Account and Website that is included within the Intellectual Property under this Agreement is listed under </w:t>
      </w:r>
      <w:r>
        <w:rPr>
          <w:rFonts w:ascii="Times New Roman;sans-serif" w:hAnsi="Times New Roman;sans-serif"/>
          <w:b w:val="false"/>
          <w:color w:val="000000"/>
          <w:sz w:val="20"/>
          <w:u w:val="single"/>
        </w:rPr>
        <w:t>Schedule 1.3</w:t>
      </w:r>
      <w:r>
        <w:rPr>
          <w:rFonts w:ascii="Times New Roman;sans-serif" w:hAnsi="Times New Roman;sans-serif"/>
          <w:b w:val="false"/>
          <w:color w:val="000000"/>
          <w:sz w:val="20"/>
        </w:rPr>
        <w:t xml:space="preserve">, and such Schedule may be updated to include any Territory-specific brand extensions that may be created by any of the BuzzFeed Parties during the Term. The BuzzFeed Parties shall be responsible for the Websites in accordance with this Agreement and the IT Services Agreement (including for the avoidance of doubt, Website maintenance costs). Any additional and/or bespoke services requested by IDNM that are not required to be provided under this Agreement and/or the IT Services Agreement may be considered by the BuzzFeed Parties, which consideration is to be exercised in the BuzzFeed Parties’ sole and absolute discretion, and any agreement to provide said services shall be memorialized in writing, including but not limited to memorialization of any additional fees to the BuzzFeed Parties. </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2.5    All rights to use the Licensed Platforms terminate after the expiration of the Term. </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2.6    The BuzzFeed Parties hereby grant to IDNM, pursuant to the terms and conditions of this Agreement and in accordance with the limitations set forth below, a non-transferable, non-sublicensable (unless any of the BuzzFeed Parties has given its prior written agreement to IDNM to sublicense) exclusive license for the Term and in the Territory (the “</w:t>
      </w:r>
      <w:r>
        <w:rPr>
          <w:rFonts w:ascii="Times New Roman;sans-serif" w:hAnsi="Times New Roman;sans-serif"/>
          <w:b/>
          <w:color w:val="000000"/>
          <w:sz w:val="20"/>
        </w:rPr>
        <w:t>Intellectual Property and Content License</w:t>
      </w:r>
      <w:r>
        <w:rPr>
          <w:color w:val="000000"/>
        </w:rPr>
        <w:t>”</w:t>
      </w:r>
      <w:r>
        <w:rPr>
          <w:rFonts w:ascii="Times New Roman;sans-serif" w:hAnsi="Times New Roman;sans-serif"/>
          <w:b w:val="false"/>
          <w:color w:val="000000"/>
          <w:sz w:val="20"/>
        </w:rPr>
        <w:t>):</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2.6.1    to use the Trademarks, Social Media Accounts and the Websites in the English language and in the Territory except as reserved in Clause 2.7):</w:t>
      </w:r>
    </w:p>
    <w:p>
      <w:pPr>
        <w:pStyle w:val="TextBody"/>
        <w:bidi w:val="0"/>
        <w:spacing w:lineRule="auto" w:line="288" w:before="0" w:after="200"/>
        <w:ind w:left="0" w:right="0" w:hanging="22"/>
        <w:jc w:val="both"/>
        <w:rPr>
          <w:rFonts w:ascii="Times New Roman;sans-serif" w:hAnsi="Times New Roman;sans-serif"/>
          <w:b w:val="false"/>
          <w:color w:val="000000"/>
          <w:sz w:val="20"/>
        </w:rPr>
      </w:pPr>
      <w:r>
        <w:rPr>
          <w:rFonts w:ascii="Times New Roman;sans-serif" w:hAnsi="Times New Roman;sans-serif"/>
          <w:b w:val="false"/>
          <w:color w:val="000000"/>
          <w:sz w:val="20"/>
        </w:rPr>
        <w:t>(i)    to develop, produce and make publicly accessible the IDNM-Produced Content via the Licensed Platforms;</w:t>
      </w:r>
    </w:p>
    <w:p>
      <w:pPr>
        <w:pStyle w:val="TextBody"/>
        <w:bidi w:val="0"/>
        <w:spacing w:lineRule="auto" w:line="288" w:before="0" w:after="200"/>
        <w:ind w:left="0" w:right="0" w:hanging="2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to make publicly accessible via the Licensed Platforms any Third-Party Content for which IDNM has obtained the necessary license or exploitation rights, except for advertising content; </w:t>
      </w:r>
    </w:p>
    <w:p>
      <w:pPr>
        <w:pStyle w:val="TextBody"/>
        <w:bidi w:val="0"/>
        <w:spacing w:lineRule="auto" w:line="288" w:before="0" w:after="200"/>
        <w:ind w:left="0" w:right="0" w:hanging="22"/>
        <w:jc w:val="both"/>
        <w:rPr>
          <w:rFonts w:ascii="Times New Roman;sans-serif" w:hAnsi="Times New Roman;sans-serif"/>
          <w:b w:val="false"/>
          <w:color w:val="000000"/>
          <w:sz w:val="20"/>
        </w:rPr>
      </w:pPr>
      <w:r>
        <w:rPr>
          <w:rFonts w:ascii="Times New Roman;sans-serif" w:hAnsi="Times New Roman;sans-serif"/>
          <w:b w:val="false"/>
          <w:color w:val="000000"/>
          <w:sz w:val="20"/>
        </w:rPr>
        <w:t>(iii)    to curate the IDNM-Produced Content and Third-Party Content promoted on the Licensed Platforms in the English language;</w:t>
      </w:r>
    </w:p>
    <w:p>
      <w:pPr>
        <w:pStyle w:val="TextBody"/>
        <w:bidi w:val="0"/>
        <w:spacing w:lineRule="auto" w:line="288" w:before="0" w:after="200"/>
        <w:ind w:left="0" w:right="0" w:hanging="22"/>
        <w:jc w:val="both"/>
        <w:rPr>
          <w:rFonts w:ascii="Times New Roman;sans-serif" w:hAnsi="Times New Roman;sans-serif"/>
          <w:b w:val="false"/>
          <w:color w:val="000000"/>
          <w:sz w:val="20"/>
        </w:rPr>
      </w:pPr>
      <w:r>
        <w:rPr>
          <w:rFonts w:ascii="Times New Roman;sans-serif" w:hAnsi="Times New Roman;sans-serif"/>
          <w:b w:val="false"/>
          <w:color w:val="000000"/>
          <w:sz w:val="20"/>
        </w:rPr>
        <w:t>(iv)    [***];</w:t>
      </w:r>
    </w:p>
    <w:p>
      <w:pPr>
        <w:pStyle w:val="TextBody"/>
        <w:bidi w:val="0"/>
        <w:spacing w:lineRule="auto" w:line="288" w:before="0" w:after="200"/>
        <w:ind w:left="0" w:right="0" w:hanging="22"/>
        <w:jc w:val="both"/>
        <w:rPr>
          <w:rFonts w:ascii="Times New Roman;sans-serif" w:hAnsi="Times New Roman;sans-serif"/>
          <w:b w:val="false"/>
          <w:color w:val="000000"/>
          <w:sz w:val="20"/>
        </w:rPr>
      </w:pPr>
      <w:r>
        <w:rPr>
          <w:rFonts w:ascii="Times New Roman;sans-serif" w:hAnsi="Times New Roman;sans-serif"/>
          <w:b w:val="false"/>
          <w:color w:val="000000"/>
          <w:sz w:val="20"/>
        </w:rPr>
        <w:t>(v)    to make available advertising content, conduct direct sales, branded content sales and direct digital advertising sales, [***] and to make any materials relating thereto for which IDNM has obtained the necessary license or exploitation rights publicly accessible via the Licensed Platforms and to receive advertising and other revenue associated with the publication of that content;</w:t>
      </w:r>
    </w:p>
    <w:p>
      <w:pPr>
        <w:pStyle w:val="TextBody"/>
        <w:bidi w:val="0"/>
        <w:spacing w:lineRule="auto" w:line="288" w:before="0" w:after="200"/>
        <w:ind w:left="0" w:right="0" w:hanging="22"/>
        <w:jc w:val="both"/>
        <w:rPr>
          <w:rFonts w:ascii="Times New Roman;sans-serif" w:hAnsi="Times New Roman;sans-serif"/>
          <w:b w:val="false"/>
          <w:color w:val="000000"/>
          <w:sz w:val="20"/>
        </w:rPr>
      </w:pPr>
      <w:r>
        <w:rPr>
          <w:rFonts w:ascii="Times New Roman;sans-serif" w:hAnsi="Times New Roman;sans-serif"/>
          <w:b w:val="false"/>
          <w:color w:val="000000"/>
          <w:sz w:val="20"/>
        </w:rPr>
        <w:t>(vi)    [***];</w:t>
      </w:r>
    </w:p>
    <w:p>
      <w:pPr>
        <w:pStyle w:val="TextBody"/>
        <w:bidi w:val="0"/>
        <w:spacing w:lineRule="auto" w:line="288" w:before="0" w:after="200"/>
        <w:ind w:left="0" w:right="0" w:hanging="2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(vii)    to collect income from Social Media Accounts and the Websites and derive all revenue generated from the foregoing activities in the Territory; </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85445"/>
                <wp:effectExtent l="0" t="0" r="0" b="0"/>
                <wp:wrapNone/>
                <wp:docPr id="151"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ind w:left="0" w:right="0" w:hanging="2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(viii)    to promote its activity on any communication medium targeted to the Territory (subject to Clause 2 herein in its entirety); </w:t>
      </w:r>
    </w:p>
    <w:p>
      <w:pPr>
        <w:pStyle w:val="TextBody"/>
        <w:bidi w:val="0"/>
        <w:spacing w:lineRule="auto" w:line="288" w:before="0" w:after="200"/>
        <w:ind w:left="0" w:right="0" w:hanging="2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(ix)    [***]; </w:t>
      </w:r>
    </w:p>
    <w:p>
      <w:pPr>
        <w:pStyle w:val="TextBody"/>
        <w:bidi w:val="0"/>
        <w:spacing w:lineRule="auto" w:line="288" w:before="0" w:after="200"/>
        <w:ind w:left="0" w:right="0" w:hanging="2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2.6.2    to use the BuzzFeed Content, subject to IDNM’s obligation to provide proper attribution for all BuzzFeed Content that is reposted by IDNM from the Global Sites or any of the BuzzFeed Parties’ Social Media Accounts; </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2.6.3    to use any of the Trademarks in any IDNM-Produced Content; and</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2.6.4    [***]. </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0"/>
        </w:rPr>
        <w:t>For avoidance of doubt, IDNM is not permitted to publish or otherwise exploit the Intellectual Property, BuzzFeed Content and IDNM-Produced Content on any social media accounts and/or websites other than the Licensed Platforms, including, but not limited to, IDNM’s social media accounts and websites, except as provided in Clauses 2.6.4 and/or 7.</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0"/>
        </w:rPr>
        <w:t xml:space="preserve">The Parties agree, for the sake of clarity, that any other use of the Intellectual Property or BuzzFeed Content is expressly excluded from the scope of this Agreement, and that all such rights shall remain exclusively with the BuzzFeed Parties, unless the BuzzFeed Parties grant such rights to IDNM in a separate signed agreement. </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2.7    Further, the Parties acknowledge and agree that IDNM’s activities on the www.tasty.co Website (“</w:t>
      </w:r>
      <w:r>
        <w:rPr>
          <w:rFonts w:ascii="Times New Roman;sans-serif" w:hAnsi="Times New Roman;sans-serif"/>
          <w:b/>
          <w:color w:val="000000"/>
          <w:sz w:val="20"/>
        </w:rPr>
        <w:t>Tasty Website</w:t>
      </w:r>
      <w:r>
        <w:rPr>
          <w:color w:val="000000"/>
        </w:rPr>
        <w:t>”</w:t>
      </w:r>
      <w:r>
        <w:rPr>
          <w:rFonts w:ascii="Times New Roman;sans-serif" w:hAnsi="Times New Roman;sans-serif"/>
          <w:b w:val="false"/>
          <w:color w:val="000000"/>
          <w:sz w:val="20"/>
        </w:rPr>
        <w:t xml:space="preserve">) will be limited to the monetization of the audience from the Territory on the Tasty Website, and the publication of IDNM-Produced Content on the Tasty Website. IDNM will not be controlling the editorial layout on the Tasty Website. If IDNM produces and/or publishes any IDNM-Produced Content on the Tasty Website, IDNM shall be responsible for clearing all necessary rights for exploitation on the Tasty Website (i.e., worldwide); it being understood that IDNM will only use Getty Images or content created by IDNM that will not require further clearance for use by BuzzFeed Parties on the Global Sites. IDNM shall be solely responsible for obtaining all necessary rights to use any other content it publishes on the Licensed Platforms. The Parties shall cooperate to avoid duplication in relation to any content published on the Licensed Platforms. </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2.8    The BuzzFeed Parties agree that the following uses of the Intellectual Property and Content License by IDNM in the Territory during the Term are not authorized and are retained by the BuzzFeed Parties, subject to Clause 2.6:</w:t>
      </w:r>
    </w:p>
    <w:p>
      <w:pPr>
        <w:pStyle w:val="TextBody"/>
        <w:bidi w:val="0"/>
        <w:spacing w:lineRule="auto" w:line="288" w:before="0" w:after="28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(i)    To negotiate, enter into or otherwise consider or investigate studio deals (other than content sales authorized under this Agreement) for film, television, documentaries and high lift productions for third-party platforms; and</w:t>
      </w:r>
    </w:p>
    <w:p>
      <w:pPr>
        <w:pStyle w:val="TextBody"/>
        <w:bidi w:val="0"/>
        <w:spacing w:lineRule="auto" w:line="288" w:before="0" w:after="200"/>
        <w:ind w:left="0" w:right="0" w:hanging="44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Any other service, activity, contract or other relationship (whether or not in writing), other than those expressly authorized in Clause 2.6 above. </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2.9        The BuzzFeed Parties reserve the right, subject to the following procedure, to request that IDNM stop any use of a particular item of BuzzFeed Content if the BuzzFeed Parties have objective reasons to believe that IDNM’s use has a material adverse impact (legal or reputational) upon the BuzzFeed Parties’ own business (“</w:t>
      </w:r>
      <w:r>
        <w:rPr>
          <w:rFonts w:ascii="Times New Roman;sans-serif" w:hAnsi="Times New Roman;sans-serif"/>
          <w:b/>
          <w:color w:val="000000"/>
          <w:sz w:val="20"/>
        </w:rPr>
        <w:t>Stop Request</w:t>
      </w:r>
      <w:r>
        <w:rPr>
          <w:color w:val="000000"/>
        </w:rPr>
        <w:t>”</w:t>
      </w:r>
      <w:r>
        <w:rPr>
          <w:rFonts w:ascii="Times New Roman;sans-serif" w:hAnsi="Times New Roman;sans-serif"/>
          <w:b w:val="false"/>
          <w:color w:val="000000"/>
          <w:sz w:val="20"/>
        </w:rPr>
        <w:t xml:space="preserve">). In such a case, the Parties will seek in good faith the necessary adaptations to allow the continued use of such BuzzFeed Content by IDNM. </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2.10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3.    BuzzFeed Brand Guides</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 xml:space="preserve">3.1    IDNM will use the Intellectual Property, the BuzzFeed Content and any other content that IDNM publishes on any Licensed Platform in a form and manner consistent with the document entitled “Brand Guides”, a copy of which is attached to this Agreement as </w:t>
      </w:r>
      <w:r>
        <w:rPr>
          <w:rFonts w:ascii="Times New Roman;sans-serif" w:hAnsi="Times New Roman;sans-serif"/>
          <w:b w:val="false"/>
          <w:color w:val="000000"/>
          <w:sz w:val="20"/>
          <w:u w:val="single"/>
        </w:rPr>
        <w:t>Schedule 2</w:t>
      </w:r>
      <w:r>
        <w:rPr>
          <w:rFonts w:ascii="Times New Roman;sans-serif" w:hAnsi="Times New Roman;sans-serif"/>
          <w:b w:val="false"/>
          <w:color w:val="000000"/>
          <w:sz w:val="20"/>
        </w:rPr>
        <w:t xml:space="preserve">. </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85445"/>
                <wp:effectExtent l="0" t="0" r="0" b="0"/>
                <wp:wrapNone/>
                <wp:docPr id="152"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3.2    In case of updates to the Brand Guides after the Effective Date, the BuzzFeed Parties will inform IDNM promptly and grant IDNM a reasonable implementation period before IDNM must follow the updated Brand Guides, provided that any revision shall only take effect if it is reasonable and shall not cause any material additional cost or loss of revenue for IDNM. </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3.3    Each of the Parties will process complaints or claims received by third parties in respect of any use of the Intellectual Property and any content (whether BuzzFeed Content, IDNM-Owned Content, IDNM-Produced Content or Third-Party Content) published on the Licensed Platforms, and shall promptly forward them to the other Party. IDNM shall be responsible for complaints relating to IDNM-Owned Content, IDNM-Produced or Third-Party Content provided by IDNM. The BuzzFeed Parties shall be responsible for complaints relating to any Intellectual Property or BuzzFeed Content, provided, however, that neither has been modified by IDNM or any third party acting on its behalf. The Parties shall keep each other reasonably informed of action taken in respect of such complaints.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4.    Use, Studio Productions, and Global Licensing</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4.1    During the Term, the BuzzFeed Parties: (i) will not grant to any third parties the right to use the Intellectual Property or BuzzFeed Content to operate social media accounts and websites in the Territory; and (ii) will not operate on its own in the Territory using the Intellectual Property, BuzzFeed Content, or any trademarks, social media accounts and websites which might cause confusion in the minds of the general public with the Trademarks, Social Media Accounts and Websites except as set forth in the following provisions of this Clause 4.</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4.2    The Parties agree that the BuzzFeed Parties retain the right to negotiate, enter into or otherwise consider or investigate studio deals for film, television, documentaries, and high lift productions for third-party platforms. </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4.3    [***]Subject to Clause 7.6.2, the Parties acknowledge that this Clause 4 does not apply to the [***]. </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4.4    Subject to Clause 4.5, the Parties acknowledge that this Clause 4 does not apply to [***].</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4.5    The following provisions shall apply in relation to any agreement that is subject to Clause 4.4: </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4.5.1    [***];</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4.5.2    [***]; and</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4.5.3    [***] of any income derived from such agreement that relates in any way to, or derives from any person in, the Territory shall be included in [***]. </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4.6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5.    BuzzFeed Parties Protection Against Dilution</w:t>
      </w:r>
    </w:p>
    <w:p>
      <w:pPr>
        <w:pStyle w:val="TextBody"/>
        <w:bidi w:val="0"/>
        <w:spacing w:lineRule="auto" w:line="288" w:before="0" w:after="2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5.1    IDNM agrees that it shall not, at any time during the Term or thereafter, directly or indirectly:</w:t>
      </w:r>
    </w:p>
    <w:p>
      <w:pPr>
        <w:pStyle w:val="TextBody"/>
        <w:bidi w:val="0"/>
        <w:spacing w:lineRule="auto" w:line="288" w:before="0" w:after="2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     Take, omit to take, or permit, any action which will or may (a) dilute the Trademarks or (b) subject to Clause 5.2, tarnish or bring into disrepute the reputation of or goodwill associated with the Intellectual Property, the BuzzFeed Content or the BuzzFeed Parties, or (c) invalidate or jeopardize any registration of the Trademarks; or</w:t>
      </w:r>
    </w:p>
    <w:p>
      <w:pPr>
        <w:pStyle w:val="TextBody"/>
        <w:bidi w:val="0"/>
        <w:spacing w:lineRule="auto" w:line="288" w:before="0" w:after="2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     Apply for, or obtain, or assist any Person in applying for or obtaining any registration of the Intellectual Property, or any trademark, service mark, trade name, or other signs confusingly similar to the Intellectual Property in any country.</w:t>
      </w:r>
    </w:p>
    <w:p>
      <w:pPr>
        <w:pStyle w:val="TextBody"/>
        <w:bidi w:val="0"/>
        <w:spacing w:lineRule="auto" w:line="288" w:before="0" w:after="2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5.2    Nothing in this Agreement shall affect IDNM’s editorial freedom and the publication by IDNM of a news story concerning the Intellectual Property and/or the BuzzFeed Parties (consistent with the activities of equivalent news publishers) shall not be deemed a breach of Clause 5.1.</w:t>
      </w:r>
    </w:p>
    <w:p>
      <w:pPr>
        <w:pStyle w:val="TextBody"/>
        <w:bidi w:val="0"/>
        <w:jc w:val="both"/>
        <w:rPr/>
      </w:pPr>
      <w:r>
        <w:rPr/>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5445"/>
                <wp:effectExtent l="0" t="0" r="0" b="0"/>
                <wp:wrapNone/>
                <wp:docPr id="153"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6.    Maintaining and Protecting the Trademarks and Provision of BuzzFeed Content</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6.1    The BuzzFeed Parties shall maintain and protect each of the Trademarks, the Social Media Accounts and the Websites in the Territory during the Term by paying the respective trademark office renewal fees and taking all commercially and reasonably necessary steps to ensure the protection of same. IDNM will reasonably cooperate with any trademark protection obligations it may be required to perform on behalf of the BuzzFeed Parties at the BuzzFeed Parties’ request and at their cost.</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6.2    IDNM will provide the BuzzFeed Parties with proof of use in an appropriate manner upon request for the purpose of upholding the Trademarks, the Social Media Accounts and/or the Websites (e.g., if a non-use objection is raised or to provide proof of being well known).</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6.3    The BuzzFeed Parties agree that they will themselves provide BuzzFeed Content and make it publicly accessible on the Global Sites on substantially the same basis (having regard to volume, quality, frequency and range) as it was provided during the 12 months prior to the Effective Date.</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 xml:space="preserve">6.4    The BuzzFeed Parties shall make good faith efforts to maintain the BuzzFeed Community so that Website users have the same opportunities to engage with other users of the Websites as they have at present, and can upload comments on articles and publish other content (including, without limitation, and for example only quizzes) on the Websites, in each case on substantially the same basis as at present (it being understood that </w:t>
      </w:r>
      <w:r>
        <w:rPr>
          <w:rFonts w:ascii="Times New Roman;sans-serif" w:hAnsi="Times New Roman;sans-serif"/>
          <w:b w:val="false"/>
          <w:color w:val="0000FF"/>
          <w:sz w:val="20"/>
          <w:u w:val="single"/>
        </w:rPr>
        <w:t>www.huffpost.com</w:t>
      </w:r>
      <w:r>
        <w:rPr>
          <w:color w:val="000000"/>
        </w:rPr>
        <w:t xml:space="preserve"> </w:t>
      </w:r>
      <w:r>
        <w:rPr>
          <w:rFonts w:ascii="Times New Roman;sans-serif" w:hAnsi="Times New Roman;sans-serif"/>
          <w:b w:val="false"/>
          <w:color w:val="000000"/>
          <w:sz w:val="20"/>
        </w:rPr>
        <w:t xml:space="preserve">does not have comment capability, </w:t>
      </w:r>
      <w:r>
        <w:rPr>
          <w:rFonts w:ascii="Times New Roman;sans-serif" w:hAnsi="Times New Roman;sans-serif"/>
          <w:b w:val="false"/>
          <w:color w:val="0000FF"/>
          <w:sz w:val="20"/>
          <w:u w:val="single"/>
        </w:rPr>
        <w:t>www.tasty.co</w:t>
      </w:r>
      <w:r>
        <w:rPr>
          <w:color w:val="000000"/>
        </w:rPr>
        <w:t xml:space="preserve"> </w:t>
      </w:r>
      <w:r>
        <w:rPr>
          <w:rFonts w:ascii="Times New Roman;sans-serif" w:hAnsi="Times New Roman;sans-serif"/>
          <w:b w:val="false"/>
          <w:color w:val="000000"/>
          <w:sz w:val="20"/>
        </w:rPr>
        <w:t>does not have comments, and writers and editors on the Licensed Platforms and all Global Sites can turn off comments on a post-by-post basis), and the BuzzFeed Parties will make good faith efforts to monitor any flagged articles and content (excluding photos) for non-compliance with the Brand Guides and the content restrictions in Clause 7.</w:t>
      </w:r>
    </w:p>
    <w:p>
      <w:pPr>
        <w:pStyle w:val="TextBody"/>
        <w:bidi w:val="0"/>
        <w:spacing w:lineRule="auto" w:line="288" w:before="0" w:after="20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2 – Content</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7.    Content</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7.1    </w:t>
      </w:r>
      <w:r>
        <w:rPr>
          <w:rFonts w:ascii="Times New Roman;sans-serif" w:hAnsi="Times New Roman;sans-serif"/>
          <w:b/>
          <w:color w:val="000000"/>
          <w:sz w:val="20"/>
        </w:rPr>
        <w:t>Content Ownership</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7.1.1    The BuzzFeed Parties shall own all rights, title and interest (including, but not limited to, copyright) in any and all IDNM-Produced Content [***], and all materials developed and/or produced by IDNM for use in connection with the Intellectual Property during the Term, provided that the BuzzFeed Parties may only use the same outside the Territory during the Term and throughout the world after the Term has expired or been terminated. </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avoidance of doubt, IDNM is not permitted to publish or otherwise exploit the BuzzFeed Content and the IDNM-Produced Content on any social media accounts and/or websites other than the Licensed Platforms, including, but not limited to, IDNM’s social media accounts and websites, and any Third-Party Content that IDNM includes in the IDNM-Produced Content must be cleared by IDNM for exploitation in the Territory at IDNM’s sole expense. The BuzzFeed Parties must clear any use of third-party materials contained in IDNM-Produced Content for BuzzFeed Parties’ use outside the Territory at the BuzzFeed Parties’ sole expense (subject to Clause 2.7). </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7.1.2    [***]</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7.1.3    [***]. IDNM shall not have the right, after the termination of this Agreement for any reason, to create any derivative works based on or derived from the BuzzFeed Content, unless otherwise agreed in advance in writing.</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7.1.4    The right to use the Trademarks and BuzzFeed Content is granted by the BuzzFeed Parties to IDNM under the additional condition that IDNM shall not use any specific Trademarks or items of BuzzFeed Content if the BuzzFeed Parties reasonably indicate to IDNM that it cannot use that Trademark or specific item of BuzzFeed Content for reasons of copyright infringement or other legal issues), [***].</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7.1.5    IDNM shall not alter any Intellectual Property or BuzzFeed Content in such a manner as to bring it within the provisions of any applicable law on advertising (e.g., disguised advertising, comparative </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85445"/>
                <wp:effectExtent l="0" t="0" r="0" b="0"/>
                <wp:wrapNone/>
                <wp:docPr id="154"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etc.) or libel and defamation. Any Intellectual Property or BuzzFeed Content so used by IDNM which is ultimately considered to be advertising or other commercial speech in any form, and regulated as such, shall be the sole responsibility of IDNM.</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7.2    </w:t>
      </w:r>
      <w:r>
        <w:rPr>
          <w:rFonts w:ascii="Times New Roman;sans-serif" w:hAnsi="Times New Roman;sans-serif"/>
          <w:b/>
          <w:color w:val="000000"/>
          <w:sz w:val="20"/>
        </w:rPr>
        <w:t>Content Restrictions</w:t>
      </w:r>
    </w:p>
    <w:p>
      <w:pPr>
        <w:pStyle w:val="TextBody"/>
        <w:bidi w:val="0"/>
        <w:spacing w:lineRule="auto" w:line="288" w:before="0" w:after="200"/>
        <w:ind w:left="0" w:right="0" w:firstLine="1418"/>
        <w:jc w:val="both"/>
        <w:rPr/>
      </w:pPr>
      <w:r>
        <w:rPr>
          <w:rFonts w:ascii="Times New Roman;sans-serif" w:hAnsi="Times New Roman;sans-serif"/>
          <w:b w:val="false"/>
          <w:color w:val="000000"/>
          <w:sz w:val="20"/>
        </w:rPr>
        <w:t>7.2.1    IDNM agrees to comply with any and all contractual restrictions with respect to the rights of any third party associated with any piece of BuzzFeed Content, including, but not limited to, any third-party name, likeness, credit restrictions and/or obligations, as well as restrictions related to any Third-Party Content supplied by the BuzzFeed Parties, provided that such restrictions have been notified to IDNM in advance. The Parties acknowledge and agree that: (i) no right, title or interest in or to any Third-Party Content is granted, licensed or transferred to IDNM under this Agreement; (ii) the BuzzFeed Parties shall be solely responsible for obtaining (and they agree that they shall obtain) all necessary rights on a worldwide basis for IDNM to use any Intellectual Property or BuzzFeed Content incorporating images, photographs or other graphic representations (“</w:t>
      </w:r>
      <w:r>
        <w:rPr>
          <w:rFonts w:ascii="Times New Roman;sans-serif" w:hAnsi="Times New Roman;sans-serif"/>
          <w:b/>
          <w:color w:val="000000"/>
          <w:sz w:val="20"/>
        </w:rPr>
        <w:t>Images</w:t>
      </w:r>
      <w:r>
        <w:rPr>
          <w:color w:val="000000"/>
        </w:rPr>
        <w:t>”</w:t>
      </w:r>
      <w:r>
        <w:rPr>
          <w:rFonts w:ascii="Times New Roman;sans-serif" w:hAnsi="Times New Roman;sans-serif"/>
          <w:b w:val="false"/>
          <w:color w:val="000000"/>
          <w:sz w:val="20"/>
        </w:rPr>
        <w:t>) licensed by the BuzzFeed Parties from Getty Images, Inc. (“</w:t>
      </w:r>
      <w:r>
        <w:rPr>
          <w:rFonts w:ascii="Times New Roman;sans-serif" w:hAnsi="Times New Roman;sans-serif"/>
          <w:b/>
          <w:color w:val="000000"/>
          <w:sz w:val="20"/>
        </w:rPr>
        <w:t>Getty</w:t>
      </w:r>
      <w:r>
        <w:rPr>
          <w:color w:val="000000"/>
        </w:rPr>
        <w:t>”</w:t>
      </w:r>
      <w:r>
        <w:rPr>
          <w:rFonts w:ascii="Times New Roman;sans-serif" w:hAnsi="Times New Roman;sans-serif"/>
          <w:b w:val="false"/>
          <w:color w:val="000000"/>
          <w:sz w:val="20"/>
        </w:rPr>
        <w:t>) or any successor image libraries, if any, from which the BuzzFeed Parties have secured rights, provided that the Images may be used only on the Licensed Platforms solely within the scope of the use rights granted under the BuzzFeed Parties’ agreement with Getty (or successor image libraries, if any) and the Images are solely used as part of the Intellectual Property or BuzzFeed Content in the original context provided to IDNM (including, for example, that editorial content may not be modiﬁed into advertising content) and not used independently of the Intellectual Property or BuzzFeed Content or newly combined with IDNM-Produced Content or other content or materials not provided by the BuzzFeed Parties; and (iii) the BuzzFeed Parties will provide IDNM with Intellectual Property or BuzzFeed Content from the BuzzFeed Parties’ United States edition of the Global Sites, which may incorporate Images obtained from Flickr and Giphy that have not been cleared for worldwide use on the Licensed Platforms, and liability for the use of such Images shall be subject to Clause 11 below. Any Intellectual Property or BuzzFeed Content that includes Images from Flickr and/or Giphy may only be used on the Licensed Platforms, provided that such Intellectual Property or BuzzFeed Content (including the Images from Flickr and Giphy) is solely used as part of the Intellectual Property or BuzzFeed Content in the original context provided to IDNM (including, for example, that editorial content may not be modified into advertising content) and not used independently of the Intellectual Property or BuzzFeed Content or newly combined with other content or materials not provided by the BuzzFeed Parties. IDNM shall not make the Images obtained from Getty, Flickr and/or Giphy available, or otherwise use such Images, except as expressly licensed pursuant to this Clause. Any use by IDNM of such Images on any other website, application or social media platform, or other media of IDNM other than the Licensed Platforms as expressly provided herein requires prior written approval from the BuzzFeed Parties.</w:t>
      </w:r>
    </w:p>
    <w:p>
      <w:pPr>
        <w:pStyle w:val="TextBody"/>
        <w:bidi w:val="0"/>
        <w:spacing w:lineRule="auto" w:line="288" w:before="0" w:after="200"/>
        <w:ind w:left="0" w:right="0" w:firstLine="1418"/>
        <w:jc w:val="both"/>
        <w:rPr/>
      </w:pPr>
      <w:r>
        <w:rPr>
          <w:rFonts w:ascii="Times New Roman;sans-serif" w:hAnsi="Times New Roman;sans-serif"/>
          <w:b w:val="false"/>
          <w:color w:val="000000"/>
          <w:sz w:val="20"/>
        </w:rPr>
        <w:t>7.2.2    If the BuzzFeed Parties instruct IDNM to delete or make inaccessible any BuzzFeed Content, IDNM-Produced Content, IDNM-Owned Content, Images or other Third-Party Content because such BuzzFeed Content, IDNM-Produced Content, Images or other Third-Party Content may contain errors, is or could be subject to a third-party claim or for any other good faith reason (“</w:t>
      </w:r>
      <w:r>
        <w:rPr>
          <w:rFonts w:ascii="Times New Roman;sans-serif" w:hAnsi="Times New Roman;sans-serif"/>
          <w:b/>
          <w:color w:val="000000"/>
          <w:sz w:val="20"/>
        </w:rPr>
        <w:t>Offending Content</w:t>
      </w:r>
      <w:r>
        <w:rPr>
          <w:color w:val="000000"/>
        </w:rPr>
        <w:t>”</w:t>
      </w:r>
      <w:r>
        <w:rPr>
          <w:rFonts w:ascii="Times New Roman;sans-serif" w:hAnsi="Times New Roman;sans-serif"/>
          <w:b w:val="false"/>
          <w:color w:val="000000"/>
          <w:sz w:val="20"/>
        </w:rPr>
        <w:t>), IDNM shall comply with such instruction to take down Offending Content in the Territory within 24 hours, or as soon as reasonably practicable, but in no event later than 48 hours after such instruction. IDNM acknowledges and agrees that any BuzzFeed Content that contains Flickr and/or Giphy Images may be removed at any time from the Global Sites and/or from the BuzzFeed Content provided to IDNM by the BuzzFeed Parties. For the avoidance of doubt, the BuzzFeed Parties will be responsible for the removal of any Offending Content on the Website and/or Social Media Accounts that was posted in the Territory prior to the Effective Date.</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7.2.3    Save as provided above, IDNM shall be solely responsible for securing worldwide rights to use any Third-Party Content that it wishes to make available on the Licensed Platforms; provided that, in the rare case where IDNM determines that it is not possible to secure worldwide rights to a particular item of Third-Party Content, IDNM shall notify the BuzzFeed Parties of its inability to secure such rights, and the Parties shall consult in good faith to determine next steps. </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7.3    </w:t>
      </w:r>
      <w:r>
        <w:rPr>
          <w:rFonts w:ascii="Times New Roman;sans-serif" w:hAnsi="Times New Roman;sans-serif"/>
          <w:b/>
          <w:color w:val="000000"/>
          <w:sz w:val="20"/>
        </w:rPr>
        <w:t>Personality Rights</w:t>
      </w:r>
    </w:p>
    <w:p>
      <w:pPr>
        <w:pStyle w:val="TextBody"/>
        <w:bidi w:val="0"/>
        <w:spacing w:lineRule="auto" w:line="288" w:before="0" w:after="280"/>
        <w:jc w:val="both"/>
        <w:rPr>
          <w:color w:val="000000"/>
        </w:rPr>
      </w:pPr>
      <w:r>
        <w:rPr>
          <w:color w:val="000000"/>
        </w:rPr>
        <w:t>    </w:t>
      </w:r>
      <w:r>
        <w:rPr>
          <w:rFonts w:ascii="Times New Roman;sans-serif" w:hAnsi="Times New Roman;sans-serif"/>
          <w:b w:val="false"/>
          <w:color w:val="000000"/>
          <w:sz w:val="20"/>
        </w:rPr>
        <w:t xml:space="preserve">The following are expressly not covered by the granting of rights of use under Clause 2.6: </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85445"/>
                <wp:effectExtent l="0" t="0" r="0" b="0"/>
                <wp:wrapNone/>
                <wp:docPr id="155"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    General personal rights of affected Persons, in particular the right to one’s own image and/or likeness, the right to privacy, protection of honor, company personal rights, or persons named in an article or recognizable in a picture; and</w:t>
      </w:r>
    </w:p>
    <w:p>
      <w:pPr>
        <w:pStyle w:val="TextBody"/>
        <w:bidi w:val="0"/>
        <w:spacing w:lineRule="auto" w:line="288" w:before="0" w:after="2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    Rights in trademarks other than the Trademarks e.g., brand names which are used as trademarks.</w:t>
      </w:r>
    </w:p>
    <w:p>
      <w:pPr>
        <w:pStyle w:val="TextBody"/>
        <w:bidi w:val="0"/>
        <w:spacing w:lineRule="auto" w:line="288" w:before="0" w:after="280"/>
        <w:jc w:val="both"/>
        <w:rPr>
          <w:color w:val="000000"/>
        </w:rPr>
      </w:pPr>
      <w:r>
        <w:rPr>
          <w:color w:val="000000"/>
        </w:rPr>
        <w:t>    </w:t>
      </w:r>
      <w:r>
        <w:rPr>
          <w:rFonts w:ascii="Times New Roman;sans-serif" w:hAnsi="Times New Roman;sans-serif"/>
          <w:b w:val="false"/>
          <w:color w:val="000000"/>
          <w:sz w:val="20"/>
        </w:rPr>
        <w:t>Provided that this limitation shall not apply to the Intellectual Property or BuzzFeed Content on the Licensed Platforms on the Effective Date or which any BuzzFeed Party may add to the CMS thereafter, which continues to be used in context and not combined with any other content or materials, and BuzzFeed shall ensure that all necessary clearances for use of any such rights or trademarks in the Territory have been obtained.</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7.4    </w:t>
      </w:r>
      <w:r>
        <w:rPr>
          <w:rFonts w:ascii="Times New Roman;sans-serif" w:hAnsi="Times New Roman;sans-serif"/>
          <w:b/>
          <w:color w:val="000000"/>
          <w:sz w:val="20"/>
        </w:rPr>
        <w:t>Exclusivity</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Clause 4 above, the BuzzFeed Parties will not make the Intellectual Property or BuzzFeed Content licensed in accordance with Clause 2.6 publicly accessible in the Territory or license it to third parties in the Territory after the Effective Date.</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7.5    </w:t>
      </w:r>
      <w:r>
        <w:rPr>
          <w:rFonts w:ascii="Times New Roman;sans-serif" w:hAnsi="Times New Roman;sans-serif"/>
          <w:b/>
          <w:color w:val="000000"/>
          <w:sz w:val="20"/>
        </w:rPr>
        <w:t>Appropriate Use of the Content</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7.5.1    IDNM will use the Intellectual Property and BuzzFeed Content exclusively in an appropriate editorial environment and, in particular, will not use the Intellectual Property or BuzzFeed Content in online media with a character glorifying violence, extremism, youth endangerment or otherwise violating applicable law. For the avoidance of doubt, inclusion of promotions on the Licensed Platforms of movies, television/streaming service content, video games or similar promotional content that may contain violence will not give rise to breach of this clause, provided that the content being promoted complies with all statutory requirements and advertising standards as may be in force or advised by any relevant authority from time to time in the Territory.</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7.5.2    IDNM shall inform the BuzzFeed Parties of any Intellectual Property or BuzzFeed Content that has been declared unlawful by a court of law promptly after it becomes aware of the same.</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7.6    </w:t>
      </w:r>
      <w:r>
        <w:rPr>
          <w:rFonts w:ascii="Times New Roman;sans-serif" w:hAnsi="Times New Roman;sans-serif"/>
          <w:b/>
          <w:color w:val="000000"/>
          <w:sz w:val="20"/>
        </w:rPr>
        <w:t>Ad Sales; Media Campaign Execution Services; Net Sales Revenue</w:t>
      </w:r>
    </w:p>
    <w:p>
      <w:pPr>
        <w:pStyle w:val="TextBody"/>
        <w:bidi w:val="0"/>
        <w:spacing w:lineRule="auto" w:line="288" w:before="0" w:after="200"/>
        <w:ind w:left="0" w:right="0" w:firstLine="1418"/>
        <w:jc w:val="both"/>
        <w:rPr/>
      </w:pPr>
      <w:r>
        <w:rPr>
          <w:rFonts w:ascii="Times New Roman;sans-serif" w:hAnsi="Times New Roman;sans-serif"/>
          <w:b w:val="false"/>
          <w:color w:val="000000"/>
          <w:sz w:val="20"/>
        </w:rPr>
        <w:t xml:space="preserve">7.6.1    Subject to Clause 2.6, IDNM shall have (a) access solely to the United Kingdom and Ireland traffic on the global websites </w:t>
      </w:r>
      <w:r>
        <w:rPr>
          <w:rFonts w:ascii="Times New Roman;sans-serif" w:hAnsi="Times New Roman;sans-serif"/>
          <w:b w:val="false"/>
          <w:color w:val="0000FF"/>
          <w:sz w:val="20"/>
          <w:u w:val="single"/>
        </w:rPr>
        <w:t>www.buzzfeed.com, www.huffpost.com</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FF"/>
          <w:sz w:val="20"/>
          <w:u w:val="single"/>
        </w:rPr>
        <w:t>www.tasty.co</w:t>
      </w:r>
      <w:r>
        <w:rPr>
          <w:color w:val="000000"/>
        </w:rPr>
        <w:t xml:space="preserve"> </w:t>
      </w:r>
      <w:r>
        <w:rPr>
          <w:rFonts w:ascii="Times New Roman;sans-serif" w:hAnsi="Times New Roman;sans-serif"/>
          <w:b w:val="false"/>
          <w:color w:val="000000"/>
          <w:sz w:val="20"/>
        </w:rPr>
        <w:t>(together, the “</w:t>
      </w:r>
      <w:r>
        <w:rPr>
          <w:rFonts w:ascii="Times New Roman;sans-serif" w:hAnsi="Times New Roman;sans-serif"/>
          <w:b/>
          <w:color w:val="000000"/>
          <w:sz w:val="20"/>
        </w:rPr>
        <w:t>Global Sites</w:t>
      </w:r>
      <w:r>
        <w:rPr>
          <w:color w:val="000000"/>
        </w:rPr>
        <w:t>”</w:t>
      </w:r>
      <w:r>
        <w:rPr>
          <w:rFonts w:ascii="Times New Roman;sans-serif" w:hAnsi="Times New Roman;sans-serif"/>
          <w:b w:val="false"/>
          <w:color w:val="000000"/>
          <w:sz w:val="20"/>
        </w:rPr>
        <w:t xml:space="preserve">) and Licensed Platforms as listed in </w:t>
      </w:r>
      <w:r>
        <w:rPr>
          <w:rFonts w:ascii="Times New Roman;sans-serif" w:hAnsi="Times New Roman;sans-serif"/>
          <w:b w:val="false"/>
          <w:color w:val="000000"/>
          <w:sz w:val="20"/>
          <w:u w:val="single"/>
        </w:rPr>
        <w:t>Schedule 1.3</w:t>
      </w:r>
      <w:r>
        <w:rPr>
          <w:color w:val="000000"/>
        </w:rPr>
        <w:t xml:space="preserve"> </w:t>
      </w:r>
      <w:r>
        <w:rPr>
          <w:rFonts w:ascii="Times New Roman;sans-serif" w:hAnsi="Times New Roman;sans-serif"/>
          <w:b w:val="false"/>
          <w:color w:val="000000"/>
          <w:sz w:val="20"/>
        </w:rPr>
        <w:t xml:space="preserve">for direct sales, programmatic guaranteed deals, private marketplace deals or open market auctions/sales, and (b) the exclusive right to maintain and run a sales team in the Territory to conduct and execute such sales. Existing redirects of traffic from Global Sites to local editions (e.g., from </w:t>
      </w:r>
      <w:r>
        <w:rPr>
          <w:rFonts w:ascii="Times New Roman;sans-serif" w:hAnsi="Times New Roman;sans-serif"/>
          <w:b w:val="false"/>
          <w:color w:val="0000FF"/>
          <w:sz w:val="20"/>
          <w:u w:val="single"/>
        </w:rPr>
        <w:t>www.huffpost.com</w:t>
      </w:r>
      <w:r>
        <w:rPr>
          <w:color w:val="000000"/>
        </w:rPr>
        <w:t xml:space="preserve"> </w:t>
      </w:r>
      <w:r>
        <w:rPr>
          <w:rFonts w:ascii="Times New Roman;sans-serif" w:hAnsi="Times New Roman;sans-serif"/>
          <w:b w:val="false"/>
          <w:color w:val="000000"/>
          <w:sz w:val="20"/>
        </w:rPr>
        <w:t xml:space="preserve">to </w:t>
      </w:r>
      <w:r>
        <w:rPr>
          <w:rFonts w:ascii="Times New Roman;sans-serif" w:hAnsi="Times New Roman;sans-serif"/>
          <w:b w:val="false"/>
          <w:color w:val="0000FF"/>
          <w:sz w:val="20"/>
          <w:u w:val="single"/>
        </w:rPr>
        <w:t>www.huffingtonpost.co.uk</w:t>
      </w:r>
      <w:r>
        <w:rPr>
          <w:rFonts w:ascii="Times New Roman;sans-serif" w:hAnsi="Times New Roman;sans-serif"/>
          <w:b w:val="false"/>
          <w:color w:val="000000"/>
          <w:sz w:val="20"/>
        </w:rPr>
        <w:t>) will be maintained. For the avoidance of doubt, the BuzzFeed Parties shall not have any competitive sales teams or contractors in the Territory commercializing United Kingdom and Ireland traffic on the Global Sites.</w:t>
      </w:r>
    </w:p>
    <w:p>
      <w:pPr>
        <w:pStyle w:val="TextBody"/>
        <w:bidi w:val="0"/>
        <w:spacing w:lineRule="auto" w:line="288" w:before="0" w:after="200"/>
        <w:ind w:left="0" w:right="0" w:firstLine="1418"/>
        <w:jc w:val="both"/>
        <w:rPr/>
      </w:pPr>
      <w:r>
        <w:rPr>
          <w:rFonts w:ascii="Times New Roman;sans-serif" w:hAnsi="Times New Roman;sans-serif"/>
          <w:b w:val="false"/>
          <w:color w:val="000000"/>
          <w:sz w:val="20"/>
        </w:rPr>
        <w:t>7.6.2    The BuzzFeed Parties shall have the right to sell global sales deals that run, in part, in the Territory, in accordance with Clause 4, subject to IDNM’s approval in each instance (not to be unreasonably withheld or delayed). Beginning on or after the Closing Date, for sales contracts listed in Schedule B of the Asset Purchase Agreement (“</w:t>
      </w:r>
      <w:r>
        <w:rPr>
          <w:rFonts w:ascii="Times New Roman;sans-serif" w:hAnsi="Times New Roman;sans-serif"/>
          <w:b/>
          <w:color w:val="000000"/>
          <w:sz w:val="20"/>
        </w:rPr>
        <w:t>Existing Contracts</w:t>
      </w:r>
      <w:r>
        <w:rPr>
          <w:color w:val="000000"/>
        </w:rPr>
        <w:t>”</w:t>
      </w:r>
      <w:r>
        <w:rPr>
          <w:rFonts w:ascii="Times New Roman;sans-serif" w:hAnsi="Times New Roman;sans-serif"/>
          <w:b w:val="false"/>
          <w:color w:val="000000"/>
          <w:sz w:val="20"/>
        </w:rPr>
        <w:t>), IDNM will execute the campaigns on the Licensed Platforms (as applicable) in the Territory in accordance with the terms and conditions of such Existing Contracts. The BuzzFeed Parties will be solely responsible for any deliverables required for such Existing Contracts outside the Territory.</w:t>
      </w:r>
      <w:r>
        <w:rPr>
          <w:color w:val="000000"/>
        </w:rPr>
        <w:t xml:space="preserve"> </w:t>
      </w:r>
      <w:r>
        <w:rPr>
          <w:rFonts w:ascii="Times New Roman;sans-serif" w:hAnsi="Times New Roman;sans-serif"/>
          <w:b w:val="false"/>
          <w:color w:val="000000"/>
          <w:sz w:val="20"/>
        </w:rPr>
        <w:t xml:space="preserve">[***] </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7.7    </w:t>
      </w:r>
      <w:r>
        <w:rPr>
          <w:rFonts w:ascii="Times New Roman;sans-serif" w:hAnsi="Times New Roman;sans-serif"/>
          <w:b/>
          <w:color w:val="000000"/>
          <w:sz w:val="20"/>
        </w:rPr>
        <w:t xml:space="preserve">Content Sales </w:t>
      </w:r>
    </w:p>
    <w:p>
      <w:pPr>
        <w:pStyle w:val="TextBody"/>
        <w:bidi w:val="0"/>
        <w:spacing w:lineRule="auto" w:line="288" w:before="0" w:after="280"/>
        <w:jc w:val="both"/>
        <w:rPr>
          <w:color w:val="000000"/>
        </w:rPr>
      </w:pPr>
      <w:r>
        <w:rPr>
          <w:color w:val="000000"/>
        </w:rPr>
        <w:t>        </w:t>
      </w:r>
      <w:r>
        <w:rPr>
          <w:rFonts w:ascii="Times New Roman;sans-serif" w:hAnsi="Times New Roman;sans-serif"/>
          <w:b w:val="false"/>
          <w:color w:val="000000"/>
          <w:sz w:val="20"/>
        </w:rPr>
        <w:t xml:space="preserve">Subject to Clauses 2.6 and 4, the BuzzFeed Parties shall continue to operate the BuzzFeed Parties’ content sales and licensing business, including all licensing deals with content aggregators and other partners in respect of the Trademarks or BuzzFeed Content and other content. IDNM will continue to operate IDNM’s written content sales business, and IDNM may include IDNM-Produced Content in such deals if they are geographically restricted to the Territory, IDNM includes any revenue therefrom in Net Revenue and shares it as provided below, unless otherwise agreed in any particular case. IDNM may propose text, images and/or video content sales deals which include IDNM-Produced Content to the BuzzFeed Parties on a case by case basis, and if any such proposed </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85445"/>
                <wp:effectExtent l="0" t="0" r="0" b="0"/>
                <wp:wrapNone/>
                <wp:docPr id="156"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80"/>
        <w:jc w:val="both"/>
        <w:rPr>
          <w:rFonts w:ascii="Times New Roman;sans-serif" w:hAnsi="Times New Roman;sans-serif"/>
          <w:b w:val="false"/>
          <w:color w:val="000000"/>
          <w:sz w:val="20"/>
        </w:rPr>
      </w:pPr>
      <w:r>
        <w:rPr>
          <w:rFonts w:ascii="Times New Roman;sans-serif" w:hAnsi="Times New Roman;sans-serif"/>
          <w:b w:val="false"/>
          <w:color w:val="000000"/>
          <w:sz w:val="20"/>
        </w:rPr>
        <w:t>deal receives the BuzzFeed Parties’ prior written approval, IDNM will share the Net Revenue derived therefrom with the BuzzFeed Parties as provided below. For the avoidance of doubt, the BuzzFeed Parties shall not be required to include any IDNM-Produced Content in its content sales and/or licensing deals, if any.</w:t>
      </w:r>
    </w:p>
    <w:p>
      <w:pPr>
        <w:pStyle w:val="TextBody"/>
        <w:bidi w:val="0"/>
        <w:spacing w:lineRule="auto" w:line="288" w:before="0" w:after="200"/>
        <w:ind w:left="0" w:right="0" w:hanging="810"/>
        <w:jc w:val="left"/>
        <w:rPr/>
      </w:pPr>
      <w:r>
        <w:rPr>
          <w:rFonts w:ascii="Times New Roman;sans-serif" w:hAnsi="Times New Roman;sans-serif"/>
          <w:b w:val="false"/>
          <w:color w:val="000000"/>
          <w:sz w:val="20"/>
        </w:rPr>
        <w:t>7.8    </w:t>
      </w:r>
      <w:r>
        <w:rPr>
          <w:rFonts w:ascii="Times New Roman;sans-serif" w:hAnsi="Times New Roman;sans-serif"/>
          <w:b/>
          <w:color w:val="000000"/>
          <w:sz w:val="20"/>
        </w:rPr>
        <w:t xml:space="preserve">Content Production </w:t>
      </w:r>
    </w:p>
    <w:p>
      <w:pPr>
        <w:pStyle w:val="TextBody"/>
        <w:bidi w:val="0"/>
        <w:spacing w:lineRule="auto" w:line="288" w:before="0" w:after="280"/>
        <w:ind w:left="0" w:right="0" w:firstLine="990"/>
        <w:jc w:val="both"/>
        <w:rPr>
          <w:color w:val="000000"/>
        </w:rPr>
      </w:pPr>
      <w:r>
        <w:rPr>
          <w:color w:val="000000"/>
        </w:rPr>
        <w:t>    </w:t>
      </w:r>
      <w:r>
        <w:rPr>
          <w:rFonts w:ascii="Times New Roman;sans-serif" w:hAnsi="Times New Roman;sans-serif"/>
          <w:b w:val="false"/>
          <w:color w:val="000000"/>
          <w:sz w:val="20"/>
        </w:rPr>
        <w:t xml:space="preserve">During the Term, subject to the terms and conditions of this Agreement, the BuzzFeed Parties will continue to produce future BuzzFeed Content to an extent that is consistent with past practice before the Effective Date with respect to the Global Sites, subject to relevant material changes in the digital publishing industry and Force Majeure, and provided that the editorial freedom of the BuzzFeed Parties remains unaffected. </w:t>
      </w:r>
    </w:p>
    <w:p>
      <w:pPr>
        <w:pStyle w:val="TextBody"/>
        <w:bidi w:val="0"/>
        <w:spacing w:lineRule="auto" w:line="288" w:before="0" w:after="2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3 – License Fees, Invoicing and Payments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8.     License Fees; Net Sales Revenue</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8.1    As consideration for the granting of the Intellectual Property and Content License to IDNM, as outlined in Clause 2.6 and commencing on the Effective Date, IDNM shall pay to BuzzFeed a fee (the “</w:t>
      </w:r>
      <w:r>
        <w:rPr>
          <w:rFonts w:ascii="Times New Roman;sans-serif" w:hAnsi="Times New Roman;sans-serif"/>
          <w:b/>
          <w:color w:val="000000"/>
          <w:sz w:val="20"/>
        </w:rPr>
        <w:t>License Fee</w:t>
      </w:r>
      <w:r>
        <w:rPr>
          <w:color w:val="000000"/>
        </w:rPr>
        <w:t>”</w:t>
      </w:r>
      <w:r>
        <w:rPr>
          <w:rFonts w:ascii="Times New Roman;sans-serif" w:hAnsi="Times New Roman;sans-serif"/>
          <w:b w:val="false"/>
          <w:color w:val="000000"/>
          <w:sz w:val="20"/>
        </w:rPr>
        <w:t xml:space="preserve">) for each Year of the Term to be calculated as follows: </w:t>
      </w:r>
    </w:p>
    <w:p>
      <w:pPr>
        <w:pStyle w:val="TextBody"/>
        <w:bidi w:val="0"/>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    [***]</w:t>
      </w:r>
    </w:p>
    <w:p>
      <w:pPr>
        <w:pStyle w:val="TextBody"/>
        <w:bidi w:val="0"/>
        <w:spacing w:before="0" w:after="0"/>
        <w:jc w:val="both"/>
        <w:rPr/>
      </w:pPr>
      <w:r>
        <w:rPr/>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8.2    After each Year, IDNM shall conduct a reconciliation to ensure that the BuzzFeed Parties receive the full License Fee that is due and payable by IDNM to the BuzzFeed Parties pursuant to Clause 8.1 by no later than thirty (30) days following the end of the relevant Year. [***]. </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8.3    For the purpose of this Clause 8, the “</w:t>
      </w:r>
      <w:r>
        <w:rPr>
          <w:rFonts w:ascii="Times New Roman;sans-serif" w:hAnsi="Times New Roman;sans-serif"/>
          <w:b/>
          <w:color w:val="000000"/>
          <w:sz w:val="20"/>
        </w:rPr>
        <w:t>Percentage</w:t>
      </w:r>
      <w:r>
        <w:rPr>
          <w:color w:val="000000"/>
        </w:rPr>
        <w:t xml:space="preserve">” </w:t>
      </w:r>
      <w:r>
        <w:rPr>
          <w:rFonts w:ascii="Times New Roman;sans-serif" w:hAnsi="Times New Roman;sans-serif"/>
          <w:b w:val="false"/>
          <w:color w:val="000000"/>
          <w:sz w:val="20"/>
        </w:rPr>
        <w:t>shall be [***].</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8.4    Beginning</w:t>
      </w:r>
      <w:r>
        <w:rPr>
          <w:color w:val="000000"/>
        </w:rPr>
        <w:t xml:space="preserve"> </w:t>
      </w:r>
      <w:r>
        <w:rPr>
          <w:rFonts w:ascii="Times New Roman;sans-serif" w:hAnsi="Times New Roman;sans-serif"/>
          <w:b w:val="false"/>
          <w:color w:val="000000"/>
          <w:sz w:val="20"/>
        </w:rPr>
        <w:t xml:space="preserve">on or after the Effective Date, for the BuzzFeed Parties’ global sales deals that include delivery in the Territory after the Effective Date, the BuzzFeed Parties will pay IDNM [***] within thirty (30) days of the collection of such Net Sales Revenues (as applicable). </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 xml:space="preserve">8.5    [***] For avoidance of doubt, any and all revenue attributable to Existing Contracts prior to the Effective Date shall belong to and be collectible by BuzzFeed UK. </w:t>
      </w:r>
      <w:r>
        <w:rPr>
          <w:rFonts w:ascii="Times New Roman;sans-serif" w:hAnsi="Times New Roman;sans-serif"/>
          <w:b w:val="false"/>
          <w:color w:val="444746"/>
          <w:sz w:val="20"/>
        </w:rPr>
        <w:t>BuzzFeed UK and IDNM shall each promptly (and, in any case, within 15 Business Days of receipt thereof) remit to the other monies or other benefits paid under any Existing Contracts that properly belong to the other under the provisions set out herein.</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8.6     [***]</w:t>
      </w:r>
    </w:p>
    <w:p>
      <w:pPr>
        <w:pStyle w:val="TextBody"/>
        <w:bidi w:val="0"/>
        <w:spacing w:before="120" w:after="120"/>
        <w:jc w:val="both"/>
        <w:rPr/>
      </w:pPr>
      <w:r>
        <w:rPr/>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85445"/>
                <wp:effectExtent l="0" t="0" r="0" b="0"/>
                <wp:wrapNone/>
                <wp:docPr id="157" name="Frame1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9.    Invoicing and Payments; Audit Rights</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9.1    License Fees shall be paid by IDNM to the BuzzFeed Parties in quarterly installments in accordance with Clause 9.4 by no later than thirty (30) days following the end of each Quarter based on the Net Revenue received by IDNM and any reconciling payment under Clause 8.2 shall be paid by no later than thirty (30) days following the end of the relevant Year. The Royalty Statement for any Quarter shall be delivered to the BuzzFeed Parties within 30 days following the end of the applicable Quarter.</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9.2    If any License Fees are not paid by the last day of the applicable 30 day period as above, the BuzzFeed Parties may charge IDNM interest from such date at a rate equal to the then current Secured Overnight Financing Rate (“</w:t>
      </w:r>
      <w:r>
        <w:rPr>
          <w:rFonts w:ascii="Times New Roman;sans-serif" w:hAnsi="Times New Roman;sans-serif"/>
          <w:b/>
          <w:color w:val="000000"/>
          <w:sz w:val="20"/>
        </w:rPr>
        <w:t>SOFR</w:t>
      </w:r>
      <w:r>
        <w:rPr>
          <w:color w:val="000000"/>
        </w:rPr>
        <w:t>”</w:t>
      </w:r>
      <w:r>
        <w:rPr>
          <w:rFonts w:ascii="Times New Roman;sans-serif" w:hAnsi="Times New Roman;sans-serif"/>
          <w:b w:val="false"/>
          <w:color w:val="000000"/>
          <w:sz w:val="20"/>
        </w:rPr>
        <w:t>) 30-Day Average Rate as reported from the Federal Reserve Bank of New York, plus a margin of 3%.</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9.3    Sales taxes are not included in the License</w:t>
      </w:r>
      <w:r>
        <w:rPr>
          <w:color w:val="000000"/>
        </w:rPr>
        <w:t xml:space="preserve"> </w:t>
      </w:r>
      <w:r>
        <w:rPr>
          <w:rFonts w:ascii="Times New Roman;sans-serif" w:hAnsi="Times New Roman;sans-serif"/>
          <w:b w:val="false"/>
          <w:color w:val="000000"/>
          <w:sz w:val="20"/>
        </w:rPr>
        <w:t>Fees and will be added to the License</w:t>
      </w:r>
      <w:r>
        <w:rPr>
          <w:color w:val="000000"/>
        </w:rPr>
        <w:t xml:space="preserve"> </w:t>
      </w:r>
      <w:r>
        <w:rPr>
          <w:rFonts w:ascii="Times New Roman;sans-serif" w:hAnsi="Times New Roman;sans-serif"/>
          <w:b w:val="false"/>
          <w:color w:val="000000"/>
          <w:sz w:val="20"/>
        </w:rPr>
        <w:t xml:space="preserve">Fees if applicable. All payments to be made by IDNM to the BuzzFeed Parties hereunder shall be made without deduction of any taxes unless such payment is subject to the deduction or withholding of applicable taxes by law. In the event that any amounts payable by IDNM to the BuzzFeed Parties are subject to withholding or other taxes, after applying the relevant tax treaty, that IDNM is required to deduct from such payments, IDNM shall remit the tax to the appropriate governmental agency and shall provide the BuzzFeed Parties a copy of each withholding tax remittance notice which it files with such agency, together with original receipts of applicable governmental authorities or other tax forms for all such taxes withheld or paid within thirty (30) days of IDNM’s filing or receipt of such notices, receipts or related tax forms. IDNM shall be responsible for and shall indemnify and hold the BuzzFeed Parties harmless against any taxes, penalties, interest and expenses incurred by or assessed against the BuzzFeed Parties as a result of IDNM’s failure to withhold such taxes or to remit them to the appropriate taxing authority. </w:t>
      </w:r>
    </w:p>
    <w:p>
      <w:pPr>
        <w:pStyle w:val="TextBody"/>
        <w:bidi w:val="0"/>
        <w:spacing w:lineRule="auto" w:line="288" w:before="0" w:after="200"/>
        <w:ind w:left="0" w:right="0" w:firstLine="709"/>
        <w:jc w:val="both"/>
        <w:rPr/>
      </w:pPr>
      <w:r>
        <w:rPr>
          <w:rFonts w:ascii="Times New Roman;sans-serif" w:hAnsi="Times New Roman;sans-serif"/>
          <w:b w:val="false"/>
          <w:color w:val="000000"/>
          <w:sz w:val="20"/>
        </w:rPr>
        <w:t>9.4    All payments shall be made in British Pounds Sterling (GBP) unless otherwise agreed by the Parties. The</w:t>
      </w:r>
      <w:r>
        <w:rPr>
          <w:color w:val="000000"/>
        </w:rPr>
        <w:t xml:space="preserve"> </w:t>
      </w:r>
      <w:r>
        <w:rPr>
          <w:rFonts w:ascii="Times New Roman;sans-serif" w:hAnsi="Times New Roman;sans-serif"/>
          <w:b w:val="false"/>
          <w:color w:val="000000"/>
          <w:sz w:val="20"/>
        </w:rPr>
        <w:t xml:space="preserve">payment will be made to the BuzzFeed Parties’ bank account, the details of which are set forth in </w:t>
      </w:r>
      <w:r>
        <w:rPr>
          <w:rFonts w:ascii="Times New Roman;sans-serif" w:hAnsi="Times New Roman;sans-serif"/>
          <w:b w:val="false"/>
          <w:color w:val="000000"/>
          <w:sz w:val="20"/>
          <w:u w:val="single"/>
        </w:rPr>
        <w:t>Schedule 8.5</w:t>
      </w:r>
      <w:r>
        <w:rPr>
          <w:rFonts w:ascii="Times New Roman;sans-serif" w:hAnsi="Times New Roman;sans-serif"/>
          <w:b w:val="false"/>
          <w:color w:val="000000"/>
          <w:sz w:val="20"/>
        </w:rPr>
        <w:t xml:space="preserve">, or to such other accounts as may be notified from time to time by the BuzzFeed Parties. </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9.5    Each Party agrees to keep full and accurate books of account and records concerning all Net Revenue and Net Sales Revenue, and each of IDNM and the BuzzFeed Parties (acting together and as a single Party for this purpose) shall have the right at its own cost (subject to the terms below) and only once per calendar year on reasonable notice during ordinary business hours, either itself or through a firm of reputable public accountants, to examine and to make copied excerpts from such books of account and records. Said books of account and records shall be preserved and maintained by the Parties and kept available for inspection by the other Party for at least three (3) years from the expiration of the respective accounting period, and each Party agrees to permit inspection and audit thereof by the requesting Party or its public accountants during said period. If such an audit reveals a shortfall in the payment pursuant to this Agreement, the same shall be paid within thirty (30) days of the Party giving notice of such shortfall, together with interest thereon (if applicable). If an audit reveals a shortfall of [***], whichever is higher, or more of Net Revenue or Net Sales Revenue in relation to the audit period, the Party at fault shall reimburse the other Party for the full and reasonable out-of-pocket cost of the external audit, including the reasonable cost of external auditors for travel and actual working time. </w:t>
      </w:r>
    </w:p>
    <w:p>
      <w:pPr>
        <w:pStyle w:val="TextBody"/>
        <w:bidi w:val="0"/>
        <w:spacing w:before="120" w:after="120"/>
        <w:jc w:val="both"/>
        <w:rPr/>
      </w:pPr>
      <w:r>
        <w:rPr/>
      </w:r>
    </w:p>
    <w:p>
      <w:pPr>
        <w:pStyle w:val="TextBody"/>
        <w:bidi w:val="0"/>
        <w:spacing w:lineRule="auto" w:line="288" w:before="0" w:after="2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4 – Third-Party Infringements and Claims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10.    Third-Party Infringement</w:t>
      </w:r>
    </w:p>
    <w:p>
      <w:pPr>
        <w:pStyle w:val="TextBody"/>
        <w:bidi w:val="0"/>
        <w:spacing w:lineRule="auto" w:line="288" w:before="0" w:after="280"/>
        <w:ind w:left="0" w:right="0" w:firstLine="709"/>
        <w:jc w:val="both"/>
        <w:rPr/>
      </w:pPr>
      <w:r>
        <w:rPr>
          <w:rFonts w:ascii="Times New Roman;sans-serif" w:hAnsi="Times New Roman;sans-serif"/>
          <w:b w:val="false"/>
          <w:color w:val="000000"/>
          <w:sz w:val="20"/>
        </w:rPr>
        <w:t>10.1    Each of the Parties shall promptly notify the other Parties of any actual or apparent infringement by any third party of any rights granted under this Agreement of which it becomes aware. If IDNM sees the need to take action against the infringement, it will notify the BuzzFeed Parties accordingly (“</w:t>
      </w:r>
      <w:r>
        <w:rPr>
          <w:rFonts w:ascii="Times New Roman;sans-serif" w:hAnsi="Times New Roman;sans-serif"/>
          <w:b/>
          <w:color w:val="000000"/>
          <w:sz w:val="20"/>
        </w:rPr>
        <w:t>Enforcement Request</w:t>
      </w:r>
      <w:r>
        <w:rPr>
          <w:color w:val="000000"/>
        </w:rPr>
        <w:t>”</w:t>
      </w:r>
      <w:r>
        <w:rPr>
          <w:rFonts w:ascii="Times New Roman;sans-serif" w:hAnsi="Times New Roman;sans-serif"/>
          <w:b w:val="false"/>
          <w:color w:val="000000"/>
          <w:sz w:val="20"/>
        </w:rPr>
        <w:t>).</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10.2    The BuzzFeed Parties will review the Enforcement Request and will consult with IDNM as to how to deal with it and notify IDNM whether it intends, in its sole discretion, to take legal action pursuant to the Enforcement Request. </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85445"/>
                <wp:effectExtent l="0" t="0" r="0" b="0"/>
                <wp:wrapNone/>
                <wp:docPr id="158" name="Frame1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10.3    In the event that the BuzzFeed Parties refuse to undertake an Enforcement Request, the BuzzFeed Parties shall promptly explain in writing the reasons for such refusal to IDNM. If IDNM disagrees with the BuzzFeed Parties’ reason for refusal to take action on an Enforcement Request, the parties agree to negotiate in good faith next steps, taking into account the interest of IDNM to take action against the infringer. If the BuzzFeed Parties elect not to undertake a prosecution of any material copyright Infringement with respect to any Enforcement Request, and upon receiving the prior written approval of the BuzzFeed Parties, IDNM shall in such case be authorized to undertake such Enforcement Request at its own expense; provided, however, that IDNM shall promptly (i) notify the BuzzFeed Parties of any material developments with respect to such Enforcement Request, (ii) deliver to the BuzzFeed Parties a copy of all pleadings, correspondence and other material documents respecting such Enforcement Request, and (iii) notify the BuzzFeed Parties of any offers of settlement related to such claim which it receives or which it proposes to make. IDNM shall not offer, or accept any offer of, a settlement that contains any material term or condition other than the receipt or payment of money by IDNM without the prior written consent of the BuzzFeed Parties, which consent shall not be unreasonably withheld or delayed. </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10.4    Unless the Parties otherwise agree in writing, monetary damages recovered by a Party in connection with an infringement or otherwise terminating the infringement shall first be applied for recoupment of expenses, including legal expenses, incurred by the Party prosecuting the action or otherwise terminating the infringement, and the balance of such damages shall be paid to IDNM and counted as Net Revenue when it is received to the extent that it relates to or is derived from the Territory.</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11.    Indemnification of IDNM</w:t>
      </w:r>
    </w:p>
    <w:p>
      <w:pPr>
        <w:pStyle w:val="TextBody"/>
        <w:bidi w:val="0"/>
        <w:spacing w:lineRule="auto" w:line="288" w:before="0" w:after="280"/>
        <w:ind w:left="0" w:right="0" w:firstLine="709"/>
        <w:jc w:val="both"/>
        <w:rPr/>
      </w:pPr>
      <w:r>
        <w:rPr>
          <w:rFonts w:ascii="Times New Roman;sans-serif" w:hAnsi="Times New Roman;sans-serif"/>
          <w:b w:val="false"/>
          <w:color w:val="000000"/>
          <w:sz w:val="20"/>
        </w:rPr>
        <w:t>11.1        Subject to Clause 11.2, the BuzzFeed Parties will, as their sole liability to IDNM, indemnify, defend and hold harmless IDNM (“</w:t>
      </w:r>
      <w:r>
        <w:rPr>
          <w:rFonts w:ascii="Times New Roman;sans-serif" w:hAnsi="Times New Roman;sans-serif"/>
          <w:b/>
          <w:color w:val="000000"/>
          <w:sz w:val="20"/>
        </w:rPr>
        <w:t>Indemnify</w:t>
      </w:r>
      <w:r>
        <w:rPr>
          <w:color w:val="000000"/>
        </w:rPr>
        <w:t>”</w:t>
      </w:r>
      <w:r>
        <w:rPr>
          <w:rFonts w:ascii="Times New Roman;sans-serif" w:hAnsi="Times New Roman;sans-serif"/>
          <w:b w:val="false"/>
          <w:color w:val="000000"/>
          <w:sz w:val="20"/>
        </w:rPr>
        <w:t>) against any claim that any use by IDNM of the Intellectual Property, the BuzzFeed Content and the Images provided under Clause 7 in accordance with this Agreement infringes any third party's rights (“</w:t>
      </w:r>
      <w:r>
        <w:rPr>
          <w:rFonts w:ascii="Times New Roman;sans-serif" w:hAnsi="Times New Roman;sans-serif"/>
          <w:b/>
          <w:color w:val="000000"/>
          <w:sz w:val="20"/>
        </w:rPr>
        <w:t>BuzzFeed Infringement Claim</w:t>
      </w:r>
      <w:r>
        <w:rPr>
          <w:color w:val="000000"/>
        </w:rPr>
        <w:t>”</w:t>
      </w:r>
      <w:r>
        <w:rPr>
          <w:rFonts w:ascii="Times New Roman;sans-serif" w:hAnsi="Times New Roman;sans-serif"/>
          <w:b w:val="false"/>
          <w:color w:val="000000"/>
          <w:sz w:val="20"/>
        </w:rPr>
        <w:t>), provided that the BuzzFeed Parties will not be liable to IDNM for any BuzzFeed Infringement Claim to the extent it arises out of or relates to:</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    Any amendments to the Intellectual Property or BuzzFeed Content which have been made by IDNM without a prior written approval from any of the BuzzFeed Parties;</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    Any unauthorized amendments to the Intellectual Property or BuzzFeed Content by IDNM or any third party acting on IDNM’s behalf;</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Any combination of the Intellectual Property or BuzzFeed Content with other content by IDNM or any third party acting on IDNM’s behalf; </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(iv)    Any Third-Party Content (other than Images sourced by the BuzzFeed Parties from Getty, Flickr and/or Giphy that are used by IDNM in accordance with Clause 7 above); and</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(v)    Any use by IDNM of any Intellectual Property or BuzzFeed Content after the BuzzFeed Parties have informed IDNM of a BuzzFeed Infringement Claim in writing and requested IDNM to terminate, suspend, or modify the use of such Intellectual Property or BuzzFeed Content, [***].</w:t>
      </w:r>
    </w:p>
    <w:p>
      <w:pPr>
        <w:pStyle w:val="TextBody"/>
        <w:bidi w:val="0"/>
        <w:spacing w:lineRule="auto" w:line="288" w:before="0" w:after="280"/>
        <w:ind w:left="0" w:right="0" w:firstLine="709"/>
        <w:jc w:val="both"/>
        <w:rPr/>
      </w:pPr>
      <w:r>
        <w:rPr>
          <w:rFonts w:ascii="Times New Roman;sans-serif" w:hAnsi="Times New Roman;sans-serif"/>
          <w:b w:val="false"/>
          <w:color w:val="000000"/>
          <w:sz w:val="20"/>
        </w:rPr>
        <w:t>11.2    The BuzzFeed Parties will only Indemnify IDNM if</w:t>
      </w:r>
      <w:r>
        <w:rPr>
          <w:color w:val="000000"/>
        </w:rPr>
        <w:t xml:space="preserve"> </w:t>
      </w:r>
      <w:r>
        <w:rPr>
          <w:rFonts w:ascii="Times New Roman;sans-serif" w:hAnsi="Times New Roman;sans-serif"/>
          <w:b w:val="false"/>
          <w:color w:val="000000"/>
          <w:sz w:val="20"/>
        </w:rPr>
        <w:t>the following conditions are fulfilled:</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    IDNM must inform the BuzzFeed Parties promptly of any BuzzFeed Infringement Claim of which IDNM becomes aware, and provide the BuzzFeed Parties with all information and evidence available to IDNM that is needed to assess the BuzzFeed Infringement Claim;</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    IDNM must not make any statement that could be construed as an acknowledgement of the BuzzFeed Infringement Claim in whole or in part or of the BuzzFeed Infringement Claims factual or legal grounds, without the BuzzFeed Parties’ prior approval made in writing and specifically in relation thereto (which shall not be unreasonably withheld or delayed);</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IDNM authorizes the BuzzFeed Parties to fully manage the BuzzFeed Infringement Claim and to decide at its sole discretion to defend, settle, or otherwise dispose of the BuzzFeed Infringement </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85445"/>
                <wp:effectExtent l="0" t="0" r="0" b="0"/>
                <wp:wrapNone/>
                <wp:docPr id="159" name="Frame1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Claim, including choosing the legal advisors. However, in the event that the BuzzFeed Infringement Claim may impact the activities or the reputation of IDNM, the BuzzFeed Parties undertake to keep IDNM informed and to indicate to IDNM the terms of settlement of the BuzzFeed Infringement Claim (but IDNM shall not have any right to oppose or veto such settlement); and</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(iv)    IDNM will cooperate with the BuzzFeed Parties (subject to its promptly being reimbursed for any costs incurred by it) in taking any reasonable steps required by the BuzzFeed Parties in connection with the BuzzFeed Infringement Claim in a timely manner.</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0"/>
        </w:rPr>
        <w:t>Insofar as the BuzzFeed Parties acknowledge, settle or otherwise dispose of any BuzzFeed Infringement Claims in whole or in part, the BuzzFeed Parties will, within the scope of its decision, take reasonable account of IDNM’s interest in unrestricted and unaltered use of the Intellectual Property and/or the BuzzFeed Content, but shall not be required to obtain the prior written approval of IDNM before acknowledging, settling or otherwise disposing of any such BuzzFeed Infringement Claim.</w:t>
      </w:r>
    </w:p>
    <w:p>
      <w:pPr>
        <w:pStyle w:val="TextBody"/>
        <w:bidi w:val="0"/>
        <w:spacing w:lineRule="auto" w:line="288" w:before="0" w:after="20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If IDNM breaches any of the obligations set forth in Clause 11 of this Agreement, including failing to provide prompt notice that prejudices the BuzzFeed Parties’ rights under this Agreement or otherwise, the BuzzFeed Parties’ indemnification obligation with respect to the affected BuzzFeed Infringement Claim shall not apply, without prejudice to any other steps, recourse or remedies which the BuzzFeed Parties shall be entitled to pursue or to obtain, unless and to the extent that IDNM proves that the damage would have occurred and would not have been lower even if the notification obligations set forth in this Agreement had been observed.</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12.    Indemnification of the BuzzFeed Parties</w:t>
      </w:r>
    </w:p>
    <w:p>
      <w:pPr>
        <w:pStyle w:val="TextBody"/>
        <w:bidi w:val="0"/>
        <w:spacing w:lineRule="auto" w:line="288" w:before="0" w:after="280"/>
        <w:ind w:left="0" w:right="0" w:firstLine="709"/>
        <w:jc w:val="both"/>
        <w:rPr/>
      </w:pPr>
      <w:r>
        <w:rPr>
          <w:rFonts w:ascii="Times New Roman;sans-serif" w:hAnsi="Times New Roman;sans-serif"/>
          <w:b w:val="false"/>
          <w:color w:val="000000"/>
          <w:sz w:val="20"/>
        </w:rPr>
        <w:t>12.1    Subject to Clause 12.2, IDNM will, as its sole liability, indemnify, defend and hold harmless</w:t>
      </w:r>
      <w:r>
        <w:rPr>
          <w:color w:val="000000"/>
        </w:rPr>
        <w:t xml:space="preserve"> </w:t>
      </w:r>
      <w:r>
        <w:rPr>
          <w:rFonts w:ascii="Times New Roman;sans-serif" w:hAnsi="Times New Roman;sans-serif"/>
          <w:b w:val="false"/>
          <w:color w:val="000000"/>
          <w:sz w:val="20"/>
        </w:rPr>
        <w:t>the BuzzFeed Parties (“</w:t>
      </w:r>
      <w:r>
        <w:rPr>
          <w:rFonts w:ascii="Times New Roman;sans-serif" w:hAnsi="Times New Roman;sans-serif"/>
          <w:b/>
          <w:color w:val="000000"/>
          <w:sz w:val="20"/>
        </w:rPr>
        <w:t>Indemnify</w:t>
      </w:r>
      <w:r>
        <w:rPr>
          <w:color w:val="000000"/>
        </w:rPr>
        <w:t>”</w:t>
      </w:r>
      <w:r>
        <w:rPr>
          <w:rFonts w:ascii="Times New Roman;sans-serif" w:hAnsi="Times New Roman;sans-serif"/>
          <w:b w:val="false"/>
          <w:color w:val="000000"/>
          <w:sz w:val="20"/>
        </w:rPr>
        <w:t>) against any</w:t>
      </w:r>
      <w:r>
        <w:rPr>
          <w:color w:val="000000"/>
        </w:rPr>
        <w:t xml:space="preserve"> </w:t>
      </w:r>
      <w:r>
        <w:rPr>
          <w:rFonts w:ascii="Times New Roman;sans-serif" w:hAnsi="Times New Roman;sans-serif"/>
          <w:b w:val="false"/>
          <w:color w:val="000000"/>
          <w:sz w:val="20"/>
        </w:rPr>
        <w:t>claim that any IDNM-Produced Content, IDNM-Owned Content and/or any Third-Party Content provided by IDNM infringes a third party's rights or applicable</w:t>
      </w:r>
      <w:r>
        <w:rPr>
          <w:color w:val="000000"/>
        </w:rPr>
        <w:t xml:space="preserve"> </w:t>
      </w:r>
      <w:r>
        <w:rPr>
          <w:rFonts w:ascii="Times New Roman;sans-serif" w:hAnsi="Times New Roman;sans-serif"/>
          <w:b w:val="false"/>
          <w:color w:val="000000"/>
          <w:sz w:val="20"/>
        </w:rPr>
        <w:t>law (“</w:t>
      </w:r>
      <w:r>
        <w:rPr>
          <w:rFonts w:ascii="Times New Roman;sans-serif" w:hAnsi="Times New Roman;sans-serif"/>
          <w:b/>
          <w:color w:val="000000"/>
          <w:sz w:val="20"/>
        </w:rPr>
        <w:t>IDNM Infringement Claim</w:t>
      </w:r>
      <w:r>
        <w:rPr>
          <w:color w:val="000000"/>
        </w:rPr>
        <w:t>”</w:t>
      </w:r>
      <w:r>
        <w:rPr>
          <w:rFonts w:ascii="Times New Roman;sans-serif" w:hAnsi="Times New Roman;sans-serif"/>
          <w:b w:val="false"/>
          <w:color w:val="000000"/>
          <w:sz w:val="20"/>
        </w:rPr>
        <w:t>), provided that IDNM will not</w:t>
      </w:r>
      <w:r>
        <w:rPr>
          <w:color w:val="000000"/>
        </w:rPr>
        <w:t xml:space="preserve"> </w:t>
      </w:r>
      <w:r>
        <w:rPr>
          <w:rFonts w:ascii="Times New Roman;sans-serif" w:hAnsi="Times New Roman;sans-serif"/>
          <w:b w:val="false"/>
          <w:color w:val="000000"/>
          <w:sz w:val="20"/>
        </w:rPr>
        <w:t>be liable to the BuzzFeed Parties for any IDNM Infringement</w:t>
      </w:r>
      <w:r>
        <w:rPr>
          <w:color w:val="000000"/>
        </w:rPr>
        <w:t xml:space="preserve"> </w:t>
      </w:r>
      <w:r>
        <w:rPr>
          <w:rFonts w:ascii="Times New Roman;sans-serif" w:hAnsi="Times New Roman;sans-serif"/>
          <w:b w:val="false"/>
          <w:color w:val="000000"/>
          <w:sz w:val="20"/>
        </w:rPr>
        <w:t xml:space="preserve">Claim to the extent such IDNM Infringement Claim relates to: </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Any use by IDNM of the Intellectual Property or the BuzzFeed Content or any Images sourced from Getty, Flickr and/or Giphy in accordance with this Agreement; </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    Any combination of the Intellectual Property or BuzzFeed Content with any IDNM-Produced Content, IDNM-Owned Content and/or any Third-Party Content provided by IDNM;</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(iii)    Use by any BuzzFeed Party of any IDNM-Produced Content, IDNM-Owned Content and/or any Third-Party Content provided by IDNM after IDNM has promptly informed the BuzzFeed Parties of a IDNM Infringement Claim in writing and requested them to terminate, suspend, or modify the use of such content.</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(iv)    Any use of any IDNM-Produced Content, IDNM-Owned Content and/or any Third-Party Content provided by IDNM by any BuzzFeed Party or any third party acting on its behalf that is in breach of this Agreement.</w:t>
      </w:r>
    </w:p>
    <w:p>
      <w:pPr>
        <w:pStyle w:val="TextBody"/>
        <w:bidi w:val="0"/>
        <w:spacing w:lineRule="auto" w:line="288" w:before="0" w:after="280"/>
        <w:ind w:left="0" w:right="0" w:firstLine="709"/>
        <w:jc w:val="both"/>
        <w:rPr/>
      </w:pPr>
      <w:r>
        <w:rPr>
          <w:rFonts w:ascii="Times New Roman;sans-serif" w:hAnsi="Times New Roman;sans-serif"/>
          <w:b w:val="false"/>
          <w:color w:val="000000"/>
          <w:sz w:val="20"/>
        </w:rPr>
        <w:t>12.2    IDNM will only Indemnify the BuzzFeed Parties if</w:t>
      </w:r>
      <w:r>
        <w:rPr>
          <w:color w:val="000000"/>
        </w:rPr>
        <w:t xml:space="preserve"> </w:t>
      </w:r>
      <w:r>
        <w:rPr>
          <w:rFonts w:ascii="Times New Roman;sans-serif" w:hAnsi="Times New Roman;sans-serif"/>
          <w:b w:val="false"/>
          <w:color w:val="000000"/>
          <w:sz w:val="20"/>
        </w:rPr>
        <w:t>the following conditions are fulfilled:</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    The BuzzFeed Parties promptly inform IDNM about the IDNM Infringement Claim and provide IDNM with all information and evidence needed to assess the IDNM Infringement Claim;</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    The BuzzFeed Parties must not make any statement that could be construed as an acknowledgement of the IDNM Infringement Claim in whole or in part or of the IDNM Infringement Claims factual or legal grounds, without IDNM's prior approval made in writing and specifically in relation thereto (which shall not be unreasonably withheld or delayed);</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    The BuzzFeed Parties authorize IDNM to fully manage the IDNM Infringement Claim, but IDNM shall not have the right to decide at its sole discretion to defend, settle, or otherwise dispose of the </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85445"/>
                <wp:effectExtent l="0" t="0" r="0" b="0"/>
                <wp:wrapNone/>
                <wp:docPr id="160"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IDNM Infringement Claim, including choosing the legal advisors, without the prior written consent of the BuzzFeed Parties (which shall not be unreasonably withheld. Furthermore, IDNM undertakes to keep the BuzzFeed parties reasonably informed of the IDNM Infringement Claim on a continuing basis; and</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(iii)    The BuzzFeed Parties will fully cooperate with IDNM in taking all reasonable steps required by IDNM in connection with the IDNM Infringement Claim in a timely manner.</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0"/>
        </w:rPr>
        <w:t>Insofar as IDNM considers to acknowledge, settle or otherwise dispose of IDNM Infringement Claims in whole or in part, it will, within the scope of its decision, take full account of the interests of the BuzzFeed Parties communicated to IDNM, in particular the interest in unrestricted and unaltered use of the Intellectual Property and/or the BuzzFeed Content. For the avoidance of doubt, IDNM will in each and every case obtain the prior written approval of the BuzzFeed Parties before acknowledging, settling or otherwise disposing of any such IDNM Infringement Claim (which shall not be unreasonably withheld or delayed).</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0"/>
        </w:rPr>
        <w:t>IDNM shall indemnify, defend and hold harmless the BuzzFeed Parties with respect to the legal and financial consequences of any Intellectual Property or BuzzFeed Content provided by the BuzzFeed Parties under this Agreement, if and to the extent that IDNM alters or modifies the same.</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0"/>
        </w:rPr>
        <w:t>If any BuzzFeed Party breaches any of the obligations set forth in Clause 12 of this Agreement, including failing to provide prompt notice that prejudices IDNM’s rights under this Agreement or otherwise, IDNM’s indemnification obligation with respect to the affected IDNM Infringement Claim shall not apply, without prejudice to any other steps, recourse or remedies which IDNM shall be entitled to pursue or to obtain, unless and to the extent that the BuzzFeed Parties prove that the damage would have occurred and would not have been lower even if the notification obligations set forth in this Agreement had been observed.</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13.    Cooperation</w:t>
      </w:r>
    </w:p>
    <w:p>
      <w:pPr>
        <w:pStyle w:val="TextBody"/>
        <w:bidi w:val="0"/>
        <w:spacing w:lineRule="auto" w:line="288" w:before="0" w:after="200"/>
        <w:ind w:left="0" w:right="0" w:firstLine="720"/>
        <w:jc w:val="left"/>
        <w:rPr/>
      </w:pPr>
      <w:r>
        <w:rPr>
          <w:rFonts w:ascii="Times New Roman;sans-serif" w:hAnsi="Times New Roman;sans-serif"/>
          <w:b w:val="false"/>
          <w:color w:val="000000"/>
          <w:sz w:val="20"/>
        </w:rPr>
        <w:t>The Parties agree to cooperate with</w:t>
      </w:r>
      <w:r>
        <w:rPr>
          <w:color w:val="000000"/>
        </w:rPr>
        <w:t xml:space="preserve"> </w:t>
      </w:r>
      <w:r>
        <w:rPr>
          <w:rFonts w:ascii="Times New Roman;sans-serif" w:hAnsi="Times New Roman;sans-serif"/>
          <w:b w:val="false"/>
          <w:color w:val="000000"/>
          <w:sz w:val="20"/>
        </w:rPr>
        <w:t>each other with respect to any suits or</w:t>
      </w:r>
      <w:r>
        <w:rPr>
          <w:color w:val="000000"/>
        </w:rPr>
        <w:t xml:space="preserve"> </w:t>
      </w:r>
      <w:r>
        <w:rPr>
          <w:rFonts w:ascii="Times New Roman;sans-serif" w:hAnsi="Times New Roman;sans-serif"/>
          <w:b w:val="false"/>
          <w:color w:val="000000"/>
          <w:sz w:val="20"/>
        </w:rPr>
        <w:t>other action taken under this Part and to</w:t>
      </w:r>
      <w:r>
        <w:rPr>
          <w:color w:val="000000"/>
        </w:rPr>
        <w:t xml:space="preserve"> </w:t>
      </w:r>
      <w:r>
        <w:rPr>
          <w:rFonts w:ascii="Times New Roman;sans-serif" w:hAnsi="Times New Roman;sans-serif"/>
          <w:b w:val="false"/>
          <w:color w:val="000000"/>
          <w:sz w:val="20"/>
        </w:rPr>
        <w:t>keep the other Party promptly and fully</w:t>
      </w:r>
      <w:r>
        <w:rPr>
          <w:color w:val="000000"/>
        </w:rPr>
        <w:t xml:space="preserve"> </w:t>
      </w:r>
      <w:r>
        <w:rPr>
          <w:rFonts w:ascii="Times New Roman;sans-serif" w:hAnsi="Times New Roman;sans-serif"/>
          <w:b w:val="false"/>
          <w:color w:val="000000"/>
          <w:sz w:val="20"/>
        </w:rPr>
        <w:t>advised with respect thereto.</w:t>
      </w:r>
    </w:p>
    <w:p>
      <w:pPr>
        <w:pStyle w:val="TextBody"/>
        <w:bidi w:val="0"/>
        <w:spacing w:lineRule="auto" w:line="288" w:before="0" w:after="2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5 – Miscellaneous Provisions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14.    Compliance</w:t>
      </w:r>
    </w:p>
    <w:p>
      <w:pPr>
        <w:pStyle w:val="TextBody"/>
        <w:bidi w:val="0"/>
        <w:spacing w:lineRule="auto" w:line="288" w:before="0" w:after="280"/>
        <w:ind w:left="0" w:right="0" w:firstLine="709"/>
        <w:jc w:val="both"/>
        <w:rPr/>
      </w:pPr>
      <w:r>
        <w:rPr>
          <w:rFonts w:ascii="Times New Roman;sans-serif" w:hAnsi="Times New Roman;sans-serif"/>
          <w:b w:val="false"/>
          <w:color w:val="000000"/>
          <w:sz w:val="20"/>
        </w:rPr>
        <w:t>14.1    Each Party to this Agreement shall comply with all applicable laws, rules or regulations (whether international, federal, state or local) concerning sanctions and anti-corruption, including, but not limited to, the requirements of the Office of Foreign Assets Control of the U.S. Treasury Department (OFAC), the U.S. Foreign Corrupt Practices Act (FCPA), and the UK Bribery Act (UKBA).  Each Party represents and warrants that neither it nor any director, officer, agent, employee, affiliate or person acting on its behalf is currently subject to any U.S. sanctions administered by OFAC or any UK sanctions administered by the UK government, either as a “Sanctioned Person” or a “Sanctioned Entity”.  Further, IDNM agrees to comply with the BuzzFeed Parties’ Code of Conduct and is aware of the existence and availability of the BuzzFeed Parties’ ethics hotline (https://buzzfeed.allvoices.co) to report any ethics concerns that may be observed. The BuzzFeed Parties’ Code of Conduct is available on the corporate governance page of the BuzzFeed Parties’ investor relations website: </w:t>
      </w:r>
      <w:r>
        <w:rPr>
          <w:color w:val="444746"/>
        </w:rPr>
        <w:t> </w:t>
      </w:r>
      <w:r>
        <w:rPr>
          <w:rFonts w:ascii="Times New Roman;sans-serif" w:hAnsi="Times New Roman;sans-serif"/>
          <w:b w:val="false"/>
          <w:color w:val="0B57D0"/>
          <w:sz w:val="20"/>
          <w:u w:val="single"/>
        </w:rPr>
        <w:t>https://ir.buzzfeed.com/corporate-governance/documents-charters</w:t>
      </w:r>
      <w:r>
        <w:rPr>
          <w:rFonts w:ascii="Times New Roman;sans-serif" w:hAnsi="Times New Roman;sans-serif"/>
          <w:b w:val="false"/>
          <w:color w:val="000000"/>
          <w:sz w:val="20"/>
        </w:rPr>
        <w:t>).  IDNM agrees that should it learn of or have reason to believe that activity in violation of the above-referenced laws or the BuzzFeed Parties’ Code of Conduct is occurring or has occurred in conjunction with any of the Principal Transaction Agreements, it will immediately disclose such activity to the BuzzFeed Parties. IDNM agrees that if any such activity involving IDNM is identified or if IDNM’s activities become subject to any sanctions regime, IDNM shall suspend such activities.</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14.2    Since online services can be accessed worldwide, the Parties state as a precaution that online use of Trademarks, Licensed Platforms and BuzzFeed Content by IDNM under this Agreement shall be deemed to be solely within the Territory as long as the respective online service is not primarily directed at regions other than the Territory, and its users have their habitual residence predominantly within the Territory even if the Intellectual Property and BuzzFeed Content may be visible and accessible to users localized outside the Territory.</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85445"/>
                <wp:effectExtent l="0" t="0" r="0" b="0"/>
                <wp:wrapNone/>
                <wp:docPr id="161" name="Frame1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15.    Force Majeure</w:t>
      </w:r>
    </w:p>
    <w:p>
      <w:pPr>
        <w:pStyle w:val="TextBody"/>
        <w:bidi w:val="0"/>
        <w:spacing w:lineRule="auto" w:line="288" w:before="0" w:after="280"/>
        <w:ind w:left="0" w:right="0" w:firstLine="709"/>
        <w:jc w:val="both"/>
        <w:rPr/>
      </w:pPr>
      <w:r>
        <w:rPr>
          <w:rFonts w:ascii="Times New Roman;sans-serif" w:hAnsi="Times New Roman;sans-serif"/>
          <w:b w:val="false"/>
          <w:color w:val="000000"/>
          <w:sz w:val="20"/>
        </w:rPr>
        <w:t>15.1    If a Party (“</w:t>
      </w:r>
      <w:r>
        <w:rPr>
          <w:rFonts w:ascii="Times New Roman;sans-serif" w:hAnsi="Times New Roman;sans-serif"/>
          <w:b/>
          <w:color w:val="000000"/>
          <w:sz w:val="20"/>
        </w:rPr>
        <w:t>Affected Party</w:t>
      </w:r>
      <w:r>
        <w:rPr>
          <w:color w:val="000000"/>
        </w:rPr>
        <w:t>”</w:t>
      </w:r>
      <w:r>
        <w:rPr>
          <w:rFonts w:ascii="Times New Roman;sans-serif" w:hAnsi="Times New Roman;sans-serif"/>
          <w:b w:val="false"/>
          <w:color w:val="000000"/>
          <w:sz w:val="20"/>
        </w:rPr>
        <w:t>) is prevented, hindered, or delayed from or in performing any of its obligations under any Principal Transaction Agreement (other than a payment obligation) by a Force Majeure Event: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    the Affected Party’s obligations under the applicable Principal Transaction Agreement shall be suspended while the Force Majeure Event continues and to the extent that it is prevented, hindered, or delayed;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    the Affected Party shall use its reasonable endeavors to perform the affected obligations notwithstanding the Force Majeure Event and/or to mitigate the effects of the Force Majeure Event on the performance of its obligations under the applicable Principal Transaction Agreement;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    as soon as reasonably possible after the end of the Force Majeure Event the Affected Party shall notify the other Party in writing that the Force Majeure Event has ended and resume performance of its obligations under the applicable Principal Transaction Agreement.</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15.2    If the Force Majeure Event prevents, hinders, or delays the Affected Party’s performance of its obligations under this Agreement or the Asset Purchase Agreement for a continuous period of more than three months, or under the IT Services Agreement for a continuous period of more than one month, starting on the day the Force Majeure Event starts, the Party not affected by the Force Majeure Event may terminate this Agreement by giving not less than one month’s written notice to the other Party.</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16.    Liability; Limitation of Liability</w:t>
      </w:r>
    </w:p>
    <w:p>
      <w:pPr>
        <w:pStyle w:val="TextBody"/>
        <w:bidi w:val="0"/>
        <w:spacing w:lineRule="auto" w:line="288" w:before="0" w:after="280"/>
        <w:ind w:left="0" w:right="0" w:firstLine="709"/>
        <w:jc w:val="both"/>
        <w:rPr/>
      </w:pPr>
      <w:r>
        <w:rPr>
          <w:rFonts w:ascii="Times New Roman;sans-serif" w:hAnsi="Times New Roman;sans-serif"/>
          <w:b w:val="false"/>
          <w:color w:val="000000"/>
          <w:sz w:val="20"/>
        </w:rPr>
        <w:t>16.1    Nothing in this Agreement excludes or limits either Party’s liability towards the</w:t>
      </w:r>
      <w:r>
        <w:rPr>
          <w:color w:val="000000"/>
        </w:rPr>
        <w:t xml:space="preserve"> </w:t>
      </w:r>
      <w:r>
        <w:rPr>
          <w:rFonts w:ascii="Times New Roman;sans-serif" w:hAnsi="Times New Roman;sans-serif"/>
          <w:b w:val="false"/>
          <w:color w:val="000000"/>
          <w:sz w:val="20"/>
        </w:rPr>
        <w:t>other for damages caused by (i) death</w:t>
      </w:r>
      <w:r>
        <w:rPr>
          <w:color w:val="000000"/>
        </w:rPr>
        <w:t xml:space="preserve"> </w:t>
      </w:r>
      <w:r>
        <w:rPr>
          <w:rFonts w:ascii="Times New Roman;sans-serif" w:hAnsi="Times New Roman;sans-serif"/>
          <w:b w:val="false"/>
          <w:color w:val="000000"/>
          <w:sz w:val="20"/>
        </w:rPr>
        <w:t>or personal injury resulting from a negligent</w:t>
      </w:r>
      <w:r>
        <w:rPr>
          <w:color w:val="000000"/>
        </w:rPr>
        <w:t xml:space="preserve"> </w:t>
      </w:r>
      <w:r>
        <w:rPr>
          <w:rFonts w:ascii="Times New Roman;sans-serif" w:hAnsi="Times New Roman;sans-serif"/>
          <w:b w:val="false"/>
          <w:color w:val="000000"/>
          <w:sz w:val="20"/>
        </w:rPr>
        <w:t>act or omission of either Party or</w:t>
      </w:r>
      <w:r>
        <w:rPr>
          <w:color w:val="000000"/>
        </w:rPr>
        <w:t xml:space="preserve"> </w:t>
      </w:r>
      <w:r>
        <w:rPr>
          <w:rFonts w:ascii="Times New Roman;sans-serif" w:hAnsi="Times New Roman;sans-serif"/>
          <w:b w:val="false"/>
          <w:color w:val="000000"/>
          <w:sz w:val="20"/>
        </w:rPr>
        <w:t>their servants, agents or employees, (ii)</w:t>
      </w:r>
      <w:r>
        <w:rPr>
          <w:color w:val="000000"/>
        </w:rPr>
        <w:t xml:space="preserve"> </w:t>
      </w:r>
      <w:r>
        <w:rPr>
          <w:rFonts w:ascii="Times New Roman;sans-serif" w:hAnsi="Times New Roman;sans-serif"/>
          <w:b w:val="false"/>
          <w:color w:val="000000"/>
          <w:sz w:val="20"/>
        </w:rPr>
        <w:t>a grossly negligent or willful breach of</w:t>
      </w:r>
      <w:r>
        <w:rPr>
          <w:color w:val="000000"/>
        </w:rPr>
        <w:t xml:space="preserve"> </w:t>
      </w:r>
      <w:r>
        <w:rPr>
          <w:rFonts w:ascii="Times New Roman;sans-serif" w:hAnsi="Times New Roman;sans-serif"/>
          <w:b w:val="false"/>
          <w:color w:val="000000"/>
          <w:sz w:val="20"/>
        </w:rPr>
        <w:t>duty, (iii) a breach of Intellectual</w:t>
      </w:r>
      <w:r>
        <w:rPr>
          <w:color w:val="000000"/>
        </w:rPr>
        <w:t xml:space="preserve"> </w:t>
      </w:r>
      <w:r>
        <w:rPr>
          <w:rFonts w:ascii="Times New Roman;sans-serif" w:hAnsi="Times New Roman;sans-serif"/>
          <w:b w:val="false"/>
          <w:color w:val="000000"/>
          <w:sz w:val="20"/>
        </w:rPr>
        <w:t>Property Rights, (iii) [***]; or (iv)</w:t>
      </w:r>
      <w:r>
        <w:rPr>
          <w:color w:val="000000"/>
        </w:rPr>
        <w:t xml:space="preserve"> </w:t>
      </w:r>
      <w:r>
        <w:rPr>
          <w:rFonts w:ascii="Times New Roman;sans-serif" w:hAnsi="Times New Roman;sans-serif"/>
          <w:b w:val="false"/>
          <w:color w:val="000000"/>
          <w:sz w:val="20"/>
        </w:rPr>
        <w:t xml:space="preserve">fraud or fraudulent misrepresentation. </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16.2    Subject to Clause 16.1, and excluding BuzzFeed Infringement Claims and IDNM Infringement Claims, (i) each Party shall only be liable for direct, foreseeable, damages; and (ii) [***].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17.    Term and Termination </w:t>
      </w:r>
    </w:p>
    <w:p>
      <w:pPr>
        <w:pStyle w:val="TextBody"/>
        <w:bidi w:val="0"/>
        <w:spacing w:lineRule="auto" w:line="288" w:before="0" w:after="280"/>
        <w:ind w:left="0" w:right="0" w:firstLine="709"/>
        <w:jc w:val="both"/>
        <w:rPr/>
      </w:pPr>
      <w:r>
        <w:rPr>
          <w:rFonts w:ascii="Times New Roman;sans-serif" w:hAnsi="Times New Roman;sans-serif"/>
          <w:b w:val="false"/>
          <w:color w:val="000000"/>
          <w:sz w:val="20"/>
        </w:rPr>
        <w:t>17.1    </w:t>
      </w:r>
      <w:r>
        <w:rPr>
          <w:rFonts w:ascii="Times New Roman;sans-serif" w:hAnsi="Times New Roman;sans-serif"/>
          <w:b/>
          <w:color w:val="000000"/>
          <w:sz w:val="20"/>
        </w:rPr>
        <w:t>Term</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Agreement starts on [***] and shall continue for an initial period of [***] from the Effective Date, unless terminated earlier in accordance with the terms and conditions below: </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bidi w:val="0"/>
        <w:spacing w:lineRule="auto" w:line="288" w:before="0" w:after="280"/>
        <w:ind w:left="0" w:right="0" w:firstLine="709"/>
        <w:jc w:val="both"/>
        <w:rPr/>
      </w:pPr>
      <w:r>
        <w:rPr>
          <w:rFonts w:ascii="Times New Roman;sans-serif" w:hAnsi="Times New Roman;sans-serif"/>
          <w:b w:val="false"/>
          <w:color w:val="000000"/>
          <w:sz w:val="20"/>
        </w:rPr>
        <w:t>17.2    </w:t>
      </w:r>
      <w:r>
        <w:rPr>
          <w:rFonts w:ascii="Times New Roman;sans-serif" w:hAnsi="Times New Roman;sans-serif"/>
          <w:b/>
          <w:color w:val="000000"/>
          <w:sz w:val="20"/>
        </w:rPr>
        <w:t>BuzzFeed Parties’ Termination Rights</w:t>
      </w:r>
    </w:p>
    <w:p>
      <w:pPr>
        <w:pStyle w:val="TextBody"/>
        <w:bidi w:val="0"/>
        <w:spacing w:lineRule="auto" w:line="388" w:before="0" w:after="20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The BuzzFeed Parties may (without prejudice to any other right or remedy) terminate this Agreement at any time, in case:</w:t>
      </w:r>
    </w:p>
    <w:p>
      <w:pPr>
        <w:pStyle w:val="TextBody"/>
        <w:bidi w:val="0"/>
        <w:spacing w:lineRule="auto" w:line="288" w:before="0" w:after="200"/>
        <w:ind w:left="0" w:right="0" w:hanging="547"/>
        <w:jc w:val="both"/>
        <w:rPr>
          <w:rFonts w:ascii="Times New Roman;sans-serif" w:hAnsi="Times New Roman;sans-serif"/>
          <w:b w:val="false"/>
          <w:color w:val="000000"/>
          <w:sz w:val="20"/>
        </w:rPr>
      </w:pPr>
      <w:r>
        <w:rPr>
          <w:rFonts w:ascii="Times New Roman;sans-serif" w:hAnsi="Times New Roman;sans-serif"/>
          <w:b w:val="false"/>
          <w:color w:val="000000"/>
          <w:sz w:val="20"/>
        </w:rPr>
        <w:t>(i)    IDNM is in material breach of any Principal Transaction Agreement and has not remedied such breach within thirty (30) days of receipt by IDNM of a written notice from the BuzzFeed Parties requiring it to remedy the applicable breach;</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85445"/>
                <wp:effectExtent l="0" t="0" r="0" b="0"/>
                <wp:wrapNone/>
                <wp:docPr id="162" name="Frame1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ind w:left="0" w:right="0" w:hanging="54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IDNM uses the Intellectual Property, BuzzFeed Content and/or IDNM-Produced Content contrary to Clause 2.6 in connection with online media with a character glorifying violence, extremism, youth endangerment or otherwise violating the law, and such use is not cured within three (3) days of receipt by IDNM of a written complaint from the BuzzFeed Parties threatening termination of this Agreement without notice; </w:t>
      </w:r>
    </w:p>
    <w:p>
      <w:pPr>
        <w:pStyle w:val="TextBody"/>
        <w:bidi w:val="0"/>
        <w:spacing w:lineRule="auto" w:line="288" w:before="0" w:after="200"/>
        <w:ind w:left="0" w:right="0" w:hanging="547"/>
        <w:jc w:val="both"/>
        <w:rPr>
          <w:rFonts w:ascii="Times New Roman;sans-serif" w:hAnsi="Times New Roman;sans-serif"/>
          <w:b w:val="false"/>
          <w:color w:val="000000"/>
          <w:sz w:val="20"/>
        </w:rPr>
      </w:pPr>
      <w:r>
        <w:rPr>
          <w:rFonts w:ascii="Times New Roman;sans-serif" w:hAnsi="Times New Roman;sans-serif"/>
          <w:b w:val="false"/>
          <w:color w:val="000000"/>
          <w:sz w:val="20"/>
        </w:rPr>
        <w:t>(iii)    IDNM becomes the subject of a significant public scandal that, at the reasonable discretion of the BuzzFeed Parties, materially affects IDNM’s image or goodwill and/or the BuzzFeed Parties’ image or goodwill, and IDNM does not cure such status within ten (10) Business Days of receipt by IDNM of a written notice;</w:t>
      </w:r>
    </w:p>
    <w:p>
      <w:pPr>
        <w:pStyle w:val="TextBody"/>
        <w:bidi w:val="0"/>
        <w:spacing w:lineRule="auto" w:line="288" w:before="0" w:after="200"/>
        <w:ind w:left="0" w:right="0" w:hanging="547"/>
        <w:jc w:val="both"/>
        <w:rPr>
          <w:rFonts w:ascii="Times New Roman;sans-serif" w:hAnsi="Times New Roman;sans-serif"/>
          <w:b w:val="false"/>
          <w:color w:val="000000"/>
          <w:sz w:val="20"/>
        </w:rPr>
      </w:pPr>
      <w:r>
        <w:rPr>
          <w:rFonts w:ascii="Times New Roman;sans-serif" w:hAnsi="Times New Roman;sans-serif"/>
          <w:b w:val="false"/>
          <w:color w:val="000000"/>
          <w:sz w:val="20"/>
        </w:rPr>
        <w:t>(iv)    IDNM breaches Clause 5 of this Agreement, and IDNM does not cure such breach within fifteen (15) days of receipt by IDNM of a written notice from the BuzzFeed Parties;</w:t>
      </w:r>
    </w:p>
    <w:p>
      <w:pPr>
        <w:pStyle w:val="TextBody"/>
        <w:bidi w:val="0"/>
        <w:spacing w:lineRule="auto" w:line="288" w:before="0" w:after="200"/>
        <w:ind w:left="0" w:right="0" w:hanging="547"/>
        <w:jc w:val="both"/>
        <w:rPr>
          <w:rFonts w:ascii="Times New Roman;sans-serif" w:hAnsi="Times New Roman;sans-serif"/>
          <w:b w:val="false"/>
          <w:color w:val="000000"/>
          <w:sz w:val="20"/>
        </w:rPr>
      </w:pPr>
      <w:r>
        <w:rPr>
          <w:rFonts w:ascii="Times New Roman;sans-serif" w:hAnsi="Times New Roman;sans-serif"/>
          <w:b w:val="false"/>
          <w:color w:val="000000"/>
          <w:sz w:val="20"/>
        </w:rPr>
        <w:t>(v)    IDNM does not actively use the Intellectual Property or the BuzzFeed Content for a period of more than three (3) months (e.g., no new content is published during that time), and IDNM does not resume the active use within thirty (30) days of receipt by IDNM of a written notice from the BuzzFeed Parties;</w:t>
      </w:r>
    </w:p>
    <w:p>
      <w:pPr>
        <w:pStyle w:val="TextBody"/>
        <w:bidi w:val="0"/>
        <w:spacing w:lineRule="auto" w:line="288" w:before="0" w:after="200"/>
        <w:ind w:left="0" w:right="0" w:hanging="547"/>
        <w:jc w:val="both"/>
        <w:rPr>
          <w:rFonts w:ascii="Times New Roman;sans-serif" w:hAnsi="Times New Roman;sans-serif"/>
          <w:b w:val="false"/>
          <w:color w:val="000000"/>
          <w:sz w:val="20"/>
        </w:rPr>
      </w:pPr>
      <w:r>
        <w:rPr>
          <w:rFonts w:ascii="Times New Roman;sans-serif" w:hAnsi="Times New Roman;sans-serif"/>
          <w:b w:val="false"/>
          <w:color w:val="000000"/>
          <w:sz w:val="20"/>
        </w:rPr>
        <w:t>(vi)    any encumbrancer takes possession of, or an administrator, receiver or administrative receiver or liquidator is appointed over, the whole or any substantial part of IDNM’s undertaking, property or assets; or</w:t>
      </w:r>
    </w:p>
    <w:p>
      <w:pPr>
        <w:pStyle w:val="TextBody"/>
        <w:bidi w:val="0"/>
        <w:spacing w:lineRule="auto" w:line="288" w:before="0" w:after="200"/>
        <w:ind w:left="0" w:right="0" w:hanging="547"/>
        <w:jc w:val="both"/>
        <w:rPr>
          <w:rFonts w:ascii="Times New Roman;sans-serif" w:hAnsi="Times New Roman;sans-serif"/>
          <w:b w:val="false"/>
          <w:color w:val="000000"/>
          <w:sz w:val="20"/>
        </w:rPr>
      </w:pPr>
      <w:r>
        <w:rPr>
          <w:rFonts w:ascii="Times New Roman;sans-serif" w:hAnsi="Times New Roman;sans-serif"/>
          <w:b w:val="false"/>
          <w:color w:val="000000"/>
          <w:sz w:val="20"/>
        </w:rPr>
        <w:t>(vii)    (a) IDNM ceases to be controlled by the persons who control IDNM at the date of this Agreement (other than through death, in the case of any individual shareholder); or (b) IDNM sells all or substantially all of the assets of IDNM to a third party; where, in either case, the acquirer does not agree to be bound by the Principal Transaction Agreements, provided that any termination notice given in respect of any such change shall only be valid if it is given within 30 days of the date on which the BuzzFeed Parties first become aware of such change, and provided further that a termination notice may be given in respect of each such change of which the BuzzFeed Parties become aware.</w:t>
      </w:r>
    </w:p>
    <w:p>
      <w:pPr>
        <w:pStyle w:val="TextBody"/>
        <w:bidi w:val="0"/>
        <w:spacing w:lineRule="auto" w:line="288" w:before="0" w:after="20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17.2.1    The Parties agree that each of the grounds above constitutes cause for termination by the BuzzFeed Parties and, in the event that any such cause as set forth above is not cured by the Licensee within thirty (30) days (unless a shorter period is stated above), this Agreement shall be immediately terminated without any further legal or judicial action having to be taken by the BuzzFeed Parties. </w:t>
      </w:r>
    </w:p>
    <w:p>
      <w:pPr>
        <w:pStyle w:val="TextBody"/>
        <w:bidi w:val="0"/>
        <w:spacing w:lineRule="auto" w:line="288" w:before="0" w:after="280"/>
        <w:ind w:left="0" w:right="0" w:firstLine="709"/>
        <w:jc w:val="both"/>
        <w:rPr/>
      </w:pPr>
      <w:r>
        <w:rPr>
          <w:rFonts w:ascii="Times New Roman;sans-serif" w:hAnsi="Times New Roman;sans-serif"/>
          <w:b w:val="false"/>
          <w:color w:val="000000"/>
          <w:sz w:val="20"/>
        </w:rPr>
        <w:t>17.3    </w:t>
      </w:r>
      <w:r>
        <w:rPr>
          <w:color w:val="000000"/>
        </w:rPr>
        <w:t>    </w:t>
      </w:r>
      <w:r>
        <w:rPr>
          <w:rFonts w:ascii="Times New Roman;sans-serif" w:hAnsi="Times New Roman;sans-serif"/>
          <w:b w:val="false"/>
          <w:color w:val="000000"/>
          <w:sz w:val="20"/>
        </w:rPr>
        <w:t>[***]</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 </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 </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(iii)     [***]</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    [***] </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 </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w:t>
      </w:r>
    </w:p>
    <w:p>
      <w:pPr>
        <w:pStyle w:val="TextBody"/>
        <w:bidi w:val="0"/>
        <w:spacing w:lineRule="auto" w:line="288" w:before="0" w:after="280"/>
        <w:ind w:left="0" w:right="0" w:firstLine="709"/>
        <w:jc w:val="both"/>
        <w:rPr/>
      </w:pPr>
      <w:r>
        <w:rPr>
          <w:rFonts w:ascii="Times New Roman;sans-serif" w:hAnsi="Times New Roman;sans-serif"/>
          <w:b w:val="false"/>
          <w:color w:val="000000"/>
          <w:sz w:val="20"/>
        </w:rPr>
        <w:t>17.4    </w:t>
      </w:r>
      <w:r>
        <w:rPr>
          <w:color w:val="000000"/>
        </w:rPr>
        <w:t>    </w:t>
      </w:r>
      <w:r>
        <w:rPr>
          <w:rFonts w:ascii="Times New Roman;sans-serif" w:hAnsi="Times New Roman;sans-serif"/>
          <w:b w:val="false"/>
          <w:color w:val="000000"/>
          <w:sz w:val="20"/>
        </w:rPr>
        <w:t>[***]</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17.4.1    [***]. </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17.4.2    [***]</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85445"/>
                <wp:effectExtent l="0" t="0" r="0" b="0"/>
                <wp:wrapNone/>
                <wp:docPr id="163" name="Frame1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pStyle w:val="TextBody"/>
        <w:bidi w:val="0"/>
        <w:spacing w:lineRule="auto" w:line="288" w:before="0" w:after="20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17.4.3 [***].     </w:t>
      </w:r>
    </w:p>
    <w:p>
      <w:pPr>
        <w:pStyle w:val="TextBody"/>
        <w:bidi w:val="0"/>
        <w:spacing w:lineRule="auto" w:line="288" w:before="0" w:after="280"/>
        <w:ind w:left="0" w:right="0" w:firstLine="709"/>
        <w:jc w:val="both"/>
        <w:rPr/>
      </w:pPr>
      <w:r>
        <w:rPr>
          <w:rFonts w:ascii="Times New Roman;sans-serif" w:hAnsi="Times New Roman;sans-serif"/>
          <w:b w:val="false"/>
          <w:color w:val="000000"/>
          <w:sz w:val="20"/>
        </w:rPr>
        <w:t>17.5    </w:t>
      </w:r>
      <w:r>
        <w:rPr>
          <w:color w:val="000000"/>
        </w:rPr>
        <w:t xml:space="preserve">     </w:t>
      </w:r>
      <w:r>
        <w:rPr>
          <w:rFonts w:ascii="Times New Roman;sans-serif" w:hAnsi="Times New Roman;sans-serif"/>
          <w:b/>
          <w:color w:val="000000"/>
          <w:sz w:val="20"/>
        </w:rPr>
        <w:t>Effects of Termination</w:t>
      </w:r>
    </w:p>
    <w:p>
      <w:pPr>
        <w:pStyle w:val="TextBody"/>
        <w:bidi w:val="0"/>
        <w:spacing w:lineRule="auto" w:line="288" w:before="0" w:after="200"/>
        <w:ind w:left="0" w:right="0" w:firstLine="1418"/>
        <w:jc w:val="both"/>
        <w:rPr/>
      </w:pPr>
      <w:r>
        <w:rPr>
          <w:rFonts w:ascii="Times New Roman;sans-serif" w:hAnsi="Times New Roman;sans-serif"/>
          <w:b w:val="false"/>
          <w:color w:val="000000"/>
          <w:sz w:val="20"/>
        </w:rPr>
        <w:t>17.5.1    Upon a Termination becoming effective (“</w:t>
      </w:r>
      <w:r>
        <w:rPr>
          <w:rFonts w:ascii="Times New Roman;sans-serif" w:hAnsi="Times New Roman;sans-serif"/>
          <w:b/>
          <w:color w:val="000000"/>
          <w:sz w:val="20"/>
        </w:rPr>
        <w:t>Termination Date</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IDNM must as soon as is reasonably practicable (and in any event within thirty (30) days) immediately (i) completely stop using the Intellectual Property and the BuzzFeed Content; and (ii) pay all unpaid License Fees to the BuzzFeed Parties, which shall remain due and payable notwithstanding any termination of this Agreement (to the extent that such amounts have been earned and received by IDNM).</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17.5.2    Within thirty (30) days of the Termination Date, IDNM shall promptly remove any and all Trademarks from any content and materials retained by IDNM.</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17.5.3    Following the Termination Date the BuzzFeed Parties shall procure that all commitments to advertisers, sponsors and other customers that have been accepted by IDNM prior to the Termination Date in respect of any use of the Licensed Platforms are honored on the basis that IDNM shall (to the extent it is reasonably able to do so) co-operate with the BuzzFeed Parties on such basis as they may reasonably request in relation to such commitments, (including completion of any custom content deliverables) and be entitled to all of the revenue under such contracts subject to the provisions below and that the BuzzFeed Parties shall account to IDNM for any such revenue as is received by them and IDNM shall thereafter:</w:t>
      </w:r>
    </w:p>
    <w:p>
      <w:pPr>
        <w:pStyle w:val="TextBody"/>
        <w:bidi w:val="0"/>
        <w:spacing w:lineRule="auto" w:line="288" w:before="0" w:after="20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Continue to issue Royalty Statements to the BuzzFeed Parties at the end of each Quarter until each of the BuzzFeed Parties and IDNM have received payment of all of the above revenue on the basis that any such revenue that is received shall be added to the Net Revenue for the Quarter that included the Termination Date and that such Net Revenue shall be applied in accordance with this Agreement; </w:t>
      </w:r>
    </w:p>
    <w:p>
      <w:pPr>
        <w:pStyle w:val="TextBody"/>
        <w:bidi w:val="0"/>
        <w:spacing w:lineRule="auto" w:line="288" w:before="0" w:after="20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(ii)    Pay all unpaid License Fees attributable to such Net Revenue to the BuzzFeed Parties on a timely basis after each Quarter (to the extent that such amounts have been earned and received by IDNM); and</w:t>
      </w:r>
    </w:p>
    <w:p>
      <w:pPr>
        <w:pStyle w:val="TextBody"/>
        <w:bidi w:val="0"/>
        <w:spacing w:lineRule="auto" w:line="288" w:before="0" w:after="200"/>
        <w:ind w:left="0" w:right="0" w:hanging="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IDNM shall fulfill all post-termination requirements under the IT Services Agreement. </w:t>
      </w:r>
    </w:p>
    <w:p>
      <w:pPr>
        <w:pStyle w:val="TextBody"/>
        <w:bidi w:val="0"/>
        <w:spacing w:lineRule="auto" w:line="288" w:before="0" w:after="200"/>
        <w:ind w:left="0" w:right="0" w:firstLine="1418"/>
        <w:jc w:val="both"/>
        <w:rPr>
          <w:rFonts w:ascii="Times New Roman;sans-serif" w:hAnsi="Times New Roman;sans-serif"/>
          <w:b w:val="false"/>
          <w:color w:val="000000"/>
          <w:sz w:val="20"/>
        </w:rPr>
      </w:pPr>
      <w:r>
        <w:rPr>
          <w:rFonts w:ascii="Times New Roman;sans-serif" w:hAnsi="Times New Roman;sans-serif"/>
          <w:b w:val="false"/>
          <w:color w:val="000000"/>
          <w:sz w:val="20"/>
        </w:rPr>
        <w:t>17.5.4    Commencing on the Termination Date, the BuzzFeed Parties will be immediately released from the exclusive covenants provided in Clauses 2 and 4.</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17.6    [***]</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18.    Costs </w:t>
      </w:r>
    </w:p>
    <w:p>
      <w:pPr>
        <w:pStyle w:val="TextBody"/>
        <w:bidi w:val="0"/>
        <w:spacing w:lineRule="auto" w:line="288" w:before="0" w:after="200"/>
        <w:ind w:left="0" w:right="0" w:firstLine="720"/>
        <w:jc w:val="left"/>
        <w:rPr/>
      </w:pPr>
      <w:r>
        <w:rPr>
          <w:rFonts w:ascii="Times New Roman;sans-serif" w:hAnsi="Times New Roman;sans-serif"/>
          <w:b w:val="false"/>
          <w:color w:val="000000"/>
          <w:sz w:val="20"/>
        </w:rPr>
        <w:t>Each Party shall bear its own costs incurred by</w:t>
      </w:r>
      <w:r>
        <w:rPr>
          <w:color w:val="000000"/>
        </w:rPr>
        <w:t xml:space="preserve"> </w:t>
      </w:r>
      <w:r>
        <w:rPr>
          <w:rFonts w:ascii="Times New Roman;sans-serif" w:hAnsi="Times New Roman;sans-serif"/>
          <w:b w:val="false"/>
          <w:color w:val="000000"/>
          <w:sz w:val="20"/>
        </w:rPr>
        <w:t>it in connection with the preparation, negotiation</w:t>
      </w:r>
      <w:r>
        <w:rPr>
          <w:color w:val="000000"/>
        </w:rPr>
        <w:t xml:space="preserve"> </w:t>
      </w:r>
      <w:r>
        <w:rPr>
          <w:rFonts w:ascii="Times New Roman;sans-serif" w:hAnsi="Times New Roman;sans-serif"/>
          <w:b w:val="false"/>
          <w:color w:val="000000"/>
          <w:sz w:val="20"/>
        </w:rPr>
        <w:t>and execution of this Agreement.</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19.    Notices to the Parties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notices, requests, consents, claims, demands, waivers and other communications under any Principal Transaction Agreement shall be in writing, drafted in English, and shall be deemed to have been given (a) when delivered by hand; (b) when received by the addressee if sent by a nationally recognized overnight courier (receipt requested); or (c) on the date sent by email of a PDF document (with confirmation of transmission) if sent during normal business hours of the recipient, and on the next business day if sent after normal business hours of the recipient. Such communications must be sent to the respective parties at the following addresses (or at such other address for a party as shall be specified in a notice given in accordance with this Clause 19):</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(a)    Notices to the BuzzFeed Parties:</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5445"/>
                <wp:effectExtent l="0" t="0" r="0" b="0"/>
                <wp:wrapNone/>
                <wp:docPr id="164" name="Frame1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BuzzFeed Media Enterprises, Inc.</w:t>
      </w:r>
    </w:p>
    <w:p>
      <w:pPr>
        <w:pStyle w:val="TextBody"/>
        <w:bidi w:val="0"/>
        <w:spacing w:lineRule="auto" w:line="288" w:before="0" w:after="280"/>
        <w:jc w:val="left"/>
        <w:rPr/>
      </w:pPr>
      <w:r>
        <w:rPr>
          <w:rFonts w:ascii="Times New Roman;sans-serif" w:hAnsi="Times New Roman;sans-serif"/>
          <w:b w:val="false"/>
          <w:color w:val="000000"/>
          <w:sz w:val="20"/>
        </w:rPr>
        <w:t>Attention: [***]</w:t>
        <w:br/>
        <w:t>Address:     229 W. 43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St.,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w:t>
        <w:br/>
        <w:t>        New York, NY 10036</w:t>
        <w:br/>
        <w:t>E-Mail: [***]</w:t>
        <w:br/>
        <w:t xml:space="preserve">with a courtesy copy to: [***] </w:t>
        <w:br/>
        <w:t>and to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BuzzFeed UK Ltd.</w:t>
      </w:r>
    </w:p>
    <w:p>
      <w:pPr>
        <w:pStyle w:val="TextBody"/>
        <w:bidi w:val="0"/>
        <w:spacing w:lineRule="auto" w:line="288" w:before="0" w:after="280"/>
        <w:jc w:val="left"/>
        <w:rPr/>
      </w:pPr>
      <w:r>
        <w:rPr>
          <w:rFonts w:ascii="Times New Roman;sans-serif" w:hAnsi="Times New Roman;sans-serif"/>
          <w:b w:val="false"/>
          <w:color w:val="000000"/>
          <w:sz w:val="20"/>
        </w:rPr>
        <w:t>Attention: [***]</w:t>
        <w:br/>
        <w:t>Address:     229 W. 43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St.,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w:t>
        <w:br/>
        <w:t>        New York, NY 10036</w:t>
        <w:br/>
        <w:t>E-Mail: [***]</w:t>
        <w:br/>
        <w:t>with a courtesy copy to: General Counsel; [***]</w:t>
        <w:br/>
        <w:t>and to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TheHuffingtonPost.com, Inc.</w:t>
      </w:r>
    </w:p>
    <w:p>
      <w:pPr>
        <w:pStyle w:val="TextBody"/>
        <w:bidi w:val="0"/>
        <w:spacing w:lineRule="auto" w:line="288" w:before="0" w:after="280"/>
        <w:jc w:val="left"/>
        <w:rPr/>
      </w:pPr>
      <w:r>
        <w:rPr>
          <w:rFonts w:ascii="Times New Roman;sans-serif" w:hAnsi="Times New Roman;sans-serif"/>
          <w:b w:val="false"/>
          <w:color w:val="000000"/>
          <w:sz w:val="20"/>
        </w:rPr>
        <w:t>Attention: [***]</w:t>
        <w:br/>
        <w:t>Address:     229 W. 43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St.,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w:t>
        <w:br/>
        <w:t>        New York, NY 10036</w:t>
        <w:br/>
        <w:t>E-Mail: [***]</w:t>
        <w:br/>
        <w:t xml:space="preserve">with a courtesy copy to: General Counsel; [***] </w:t>
        <w:br/>
        <w:t>and to [***]</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(b)    Notices to IDNM:</w:t>
      </w:r>
    </w:p>
    <w:p>
      <w:pPr>
        <w:pStyle w:val="TextBody"/>
        <w:bidi w:val="0"/>
        <w:spacing w:lineRule="auto" w:line="288" w:before="0" w:after="280"/>
        <w:jc w:val="left"/>
        <w:rPr>
          <w:rFonts w:ascii="Times New Roman;sans-serif" w:hAnsi="Times New Roman;sans-serif"/>
          <w:b w:val="false"/>
          <w:color w:val="000000"/>
          <w:sz w:val="20"/>
        </w:rPr>
      </w:pPr>
      <w:r>
        <w:rPr>
          <w:rFonts w:ascii="Times New Roman;sans-serif" w:hAnsi="Times New Roman;sans-serif"/>
          <w:b w:val="false"/>
          <w:color w:val="000000"/>
          <w:sz w:val="20"/>
        </w:rPr>
        <w:t>To: Independent Digital News and Media Limited.</w:t>
        <w:br/>
        <w:t>Attention: [***]</w:t>
        <w:br/>
        <w:t>Address: Alphabeta Building, 14-18 Finsbury Square, London, EC2A 1AH, United Kingdom</w:t>
        <w:br/>
        <w:t>E-Mail: [***]</w:t>
        <w:br/>
        <w:t>with a courtesy copy to: [***]</w:t>
        <w:br/>
        <w:t>and to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20.    Confidentiality</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0"/>
        </w:rPr>
        <w:t>Each Party undertakes to each other that it will treat as confidential the terms of all of the Principal Transaction Agreements, together with all information, whether of a technical nature or otherwise, relating in any manner to the BuzzFeed UK Business or to the business and affairs of the other Parties as may be communicated to it hereunder or otherwise in to any person (other than to its Affiliates, auditors and other professional advisors) or to the media, and will not use such information other than for the purposes of this Agreement, unless such disclosure or use is expressly permitted in writing.</w:t>
      </w:r>
    </w:p>
    <w:p>
      <w:pPr>
        <w:pStyle w:val="TextBody"/>
        <w:bidi w:val="0"/>
        <w:spacing w:lineRule="auto" w:line="288" w:before="0" w:after="2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provisions of this paragraph shall not apply to any information which:</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    Is in the public domain, other than through the fault of the receiving Party;</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    Is obtained by the receiving Party from a bona fide third party having no apparent restraint on its free right of disposal of such information; or</w:t>
      </w:r>
    </w:p>
    <w:p>
      <w:pPr>
        <w:pStyle w:val="TextBody"/>
        <w:bidi w:val="0"/>
        <w:spacing w:lineRule="auto" w:line="288" w:before="0" w:after="20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(iii)    Is required to be disclosed by law or regulation or the valid order of a court of competent jurisdiction, or the request or direction of any governmental or other regulatory authority or agency.</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21.    Form of Amendments</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0"/>
        </w:rPr>
        <w:t>Any amendment or supplement to, or the termination of, any Principal Transaction Agreement, including this provision, shall be valid only if made in writing.</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85445"/>
                <wp:effectExtent l="0" t="0" r="0" b="0"/>
                <wp:wrapNone/>
                <wp:docPr id="165" name="Frame1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22.    Assignments and Transfers</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22.1    IDNM may not transfer or assign, directly or indirectly, any Principal Transaction Agreement or any rights and/or obligations arising therefrom without the prior written consent of the BuzzFeed Parties, it being understood that the approved transfer or assignment will include the transfer or assignment of any schedule and ancillary or supplementary agreement hereto.  For clarity, this Clause 22 applies to any assignments, transfers or delegations between IDNM and any Affiliate of IDNM.</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22.2    Each Principal Transaction Agreement and all of the provisions thereof shall be binding upon and inure to the benefit of, and be enforceable by, the Parties thereto and their respective corporate Affiliates, successors and permitted assigns.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23.    Invalid Provisions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Should any provision of any Principal Transaction Agreement be or held to be wholly or partly invalid, ineffective or unenforceable, this shall not affect the validity, effectiveness or enforceability of the remaining provisions. Any such invalid, ineffective or unenforceable provision shall, to the extent permitted by law, be deemed replaced by such valid, effective and enforceable provision as comes closest to the economic intent and purpose of such invalid, ineffective or unenforceable provision. The aforesaid shall apply </w:t>
      </w:r>
      <w:r>
        <w:rPr>
          <w:rFonts w:ascii="Times New Roman;sans-serif" w:hAnsi="Times New Roman;sans-serif"/>
          <w:b w:val="false"/>
          <w:i/>
          <w:color w:val="000000"/>
          <w:sz w:val="20"/>
        </w:rPr>
        <w:t>mutatis</w:t>
      </w:r>
      <w:r>
        <w:rPr>
          <w:color w:val="000000"/>
        </w:rPr>
        <w:t xml:space="preserve"> </w:t>
      </w:r>
      <w:r>
        <w:rPr>
          <w:rFonts w:ascii="Times New Roman;sans-serif" w:hAnsi="Times New Roman;sans-serif"/>
          <w:b w:val="false"/>
          <w:i/>
          <w:color w:val="000000"/>
          <w:sz w:val="20"/>
        </w:rPr>
        <w:t xml:space="preserve">mutandis </w:t>
      </w:r>
      <w:r>
        <w:rPr>
          <w:rFonts w:ascii="Times New Roman;sans-serif" w:hAnsi="Times New Roman;sans-serif"/>
          <w:b w:val="false"/>
          <w:color w:val="000000"/>
          <w:sz w:val="20"/>
        </w:rPr>
        <w:t>to any unintended omission in the applicable Principal Transaction Agreement.</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24.    Entire Agreement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Transaction Agreements constitute the entire agreement among and between the Parties with respect to the subject matter thereof and shall replace any negotiations and understandings, oral or written, heretofore made between the Parties or any of them with respect to the subject matter thereof.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25.    Publicity</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Party shall make any public announcement, press release or other external communication in relation to the existence or contents of any Principal Transaction Agreement without the prior written consent of the other Parties. Additionally, from time to time, the BuzzFeed Parties will desire to promote the release of certain studio projects on the Licensed Platforms, and the BuzzFeed Parties will provide IDNM with advance notice of the content of such promotion, subject to consultation.</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26.    Dispute Resolution; Governing Law; Place of Jurisdiction; Waiver of Jury Trial </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26.1    If any dispute or difference arises between the Parties in connection with or arising out of this Agreement or the IT Services Agreement, the Representatives (as defined in the IT Services Agreement) shall, within three Business Days of a written request from any Party, meet or speak to each other in order to attempt in good faith to resolve the dispute.</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26.2    If the dispute or difference is not resolved by the Representatives, senior management of each Party shall, within seven days of service of the written request referred to above, meet or speak to each other in good faith to try and resolve the dispute without recourse to legal proceedings.</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26.3    Failing resolution of the dispute or difference by the senior management, any of the Parties may initiate formal legal proceedings, including litigation.</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26.4    This Agreement and the IT Services Agreement and any rights and obligations arising out of, or in connection with either of them, their subject matter or formation (including non-contractual disputes or claims) shall be governed by and construed in accordance with the laws of the State of New York, excluding conflict of laws rules and the UN Convention on Contracts for the International Sale of Goods (CISG).</w: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26.5    Exclusive place of jurisdiction for all rights and obligations out of or in connection with this Agreement and its consummation, including litigation regarding its effectiveness, shall be the courts located in New York, New York. </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5445"/>
                <wp:effectExtent l="0" t="0" r="0" b="0"/>
                <wp:wrapNone/>
                <wp:docPr id="166" name="Frame1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80"/>
        <w:ind w:left="0" w:right="0" w:firstLine="7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26.6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27.    Negotiation</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Transaction Agreements have been extensively negotiated by the Parties, who have voluntarily and knowingly negotiated every single Clause of them. Each Party declares that it has fully understood the meaning of each Clause and that it has been assisted by counsel for these purposes.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28.    Waiver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29.    Counterparts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Agreement may be executed in counterparts, each of which shall 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 </w:t>
      </w:r>
    </w:p>
    <w:p>
      <w:pPr>
        <w:pStyle w:val="TextBody"/>
        <w:bidi w:val="0"/>
        <w:spacing w:lineRule="auto" w:line="288" w:before="0" w:after="280"/>
        <w:jc w:val="center"/>
        <w:rPr>
          <w:rFonts w:ascii="Times New Roman;sans-serif" w:hAnsi="Times New Roman;sans-serif"/>
          <w:b w:val="false"/>
          <w:color w:val="000000"/>
          <w:sz w:val="20"/>
        </w:rPr>
      </w:pPr>
      <w:r>
        <w:rPr>
          <w:rFonts w:ascii="Times New Roman;sans-serif" w:hAnsi="Times New Roman;sans-serif"/>
          <w:b w:val="false"/>
          <w:color w:val="000000"/>
          <w:sz w:val="20"/>
        </w:rPr>
        <w:t>[Remainder of page intentionally left blank]</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85445"/>
                <wp:effectExtent l="0" t="0" r="0" b="0"/>
                <wp:wrapNone/>
                <wp:docPr id="167"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Agreement to be executed as of the date first written above by their duly authorized representatives.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BUZZFEED MEDIA ENTERPRISES,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/s/ Matthew Omer</w:t>
      </w:r>
      <w:r>
        <w:rPr>
          <w:rFonts w:ascii="Times New Roman;sans-serif" w:hAnsi="Times New Roman;sans-serif"/>
          <w:b w:val="false"/>
          <w:color w:val="000000"/>
          <w:sz w:val="20"/>
        </w:rPr>
        <w:t>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Matthew Omer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Its: CFO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3/20/2024</w:t>
      </w:r>
    </w:p>
    <w:p>
      <w:pPr>
        <w:pStyle w:val="TextBody"/>
        <w:bidi w:val="0"/>
        <w:spacing w:before="0" w:after="28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BUZZFEED UK LTD.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/s/ Matthew Omer</w:t>
      </w:r>
      <w:r>
        <w:rPr>
          <w:rFonts w:ascii="Times New Roman;sans-serif" w:hAnsi="Times New Roman;sans-serif"/>
          <w:b w:val="false"/>
          <w:color w:val="000000"/>
          <w:sz w:val="20"/>
        </w:rPr>
        <w:t>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Matthew Omer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Its: CFO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3/20/2024</w:t>
      </w:r>
    </w:p>
    <w:p>
      <w:pPr>
        <w:pStyle w:val="TextBody"/>
        <w:bidi w:val="0"/>
        <w:spacing w:before="0" w:after="28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THEHUFFINGTONPOST.COM,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/s/ Matthew Omer</w:t>
      </w:r>
      <w:r>
        <w:rPr>
          <w:rFonts w:ascii="Times New Roman;sans-serif" w:hAnsi="Times New Roman;sans-serif"/>
          <w:b w:val="false"/>
          <w:color w:val="000000"/>
          <w:sz w:val="20"/>
        </w:rPr>
        <w:t>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Matthew Omer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Its: CFO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3/20/2024</w:t>
      </w:r>
    </w:p>
    <w:p>
      <w:pPr>
        <w:pStyle w:val="TextBody"/>
        <w:bidi w:val="0"/>
        <w:spacing w:before="0" w:after="280"/>
        <w:jc w:val="left"/>
        <w:rPr/>
      </w:pPr>
      <w:r>
        <w:rPr/>
      </w:r>
    </w:p>
    <w:p>
      <w:pPr>
        <w:pStyle w:val="TextBody"/>
        <w:bidi w:val="0"/>
        <w:spacing w:lineRule="auto" w:line="288" w:before="0" w:after="280"/>
        <w:jc w:val="left"/>
        <w:rPr>
          <w:rFonts w:ascii="Times New Roman;sans-serif" w:hAnsi="Times New Roman;sans-serif"/>
          <w:b/>
          <w:color w:val="000000"/>
          <w:sz w:val="20"/>
        </w:rPr>
      </w:pPr>
      <w:r>
        <w:rPr>
          <w:rFonts w:ascii="Times New Roman;sans-serif" w:hAnsi="Times New Roman;sans-serif"/>
          <w:b/>
          <w:color w:val="000000"/>
          <w:sz w:val="20"/>
        </w:rPr>
        <w:t>INDEPENDENT DIGITAL NEWS AND MEDIA LIMITED</w:t>
      </w:r>
    </w:p>
    <w:p>
      <w:pPr>
        <w:pStyle w:val="TextBody"/>
        <w:bidi w:val="0"/>
        <w:spacing w:lineRule="auto" w:line="288" w:before="0" w:after="0"/>
        <w:jc w:val="left"/>
        <w:rPr/>
      </w:pPr>
      <w:r>
        <w:rPr>
          <w:rFonts w:ascii="Times New Roman;sans-serif" w:hAnsi="Times New Roman;sans-serif"/>
          <w:b w:val="false"/>
          <w:color w:val="000000"/>
          <w:sz w:val="20"/>
          <w:u w:val="single"/>
        </w:rPr>
        <w:t>/s/ Christian Broughton</w:t>
      </w:r>
      <w:r>
        <w:rPr>
          <w:rFonts w:ascii="Times New Roman;sans-serif" w:hAnsi="Times New Roman;sans-serif"/>
          <w:b w:val="false"/>
          <w:color w:val="000000"/>
          <w:sz w:val="20"/>
        </w:rPr>
        <w:t>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Christian Broughton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Its: CEO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20,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0"/>
        <w:jc w:val="center"/>
        <w:rPr/>
      </w:pPr>
      <w:r>
        <w:rPr/>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85445"/>
                <wp:effectExtent l="0" t="0" r="0" b="0"/>
                <wp:wrapNone/>
                <wp:docPr id="168" name="Frame1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80"/>
        <w:jc w:val="center"/>
        <w:rPr>
          <w:rFonts w:ascii="Times New Roman;sans-serif" w:hAnsi="Times New Roman;sans-serif"/>
          <w:b/>
          <w:color w:val="000000"/>
          <w:sz w:val="20"/>
        </w:rPr>
      </w:pPr>
      <w:r>
        <w:rPr>
          <w:rFonts w:ascii="Times New Roman;sans-serif" w:hAnsi="Times New Roman;sans-serif"/>
          <w:b/>
          <w:color w:val="000000"/>
          <w:sz w:val="20"/>
        </w:rPr>
        <w:t>Schedule 1.1 – Definitions</w:t>
      </w:r>
    </w:p>
    <w:p>
      <w:pPr>
        <w:pStyle w:val="TextBody"/>
        <w:bidi w:val="0"/>
        <w:spacing w:lineRule="auto" w:line="288" w:before="0" w:after="200"/>
        <w:jc w:val="left"/>
        <w:rPr/>
      </w:pPr>
      <w:r>
        <w:rPr>
          <w:rFonts w:ascii="Times New Roman;sans-serif" w:hAnsi="Times New Roman;sans-serif"/>
          <w:b/>
          <w:color w:val="000000"/>
          <w:sz w:val="20"/>
        </w:rPr>
        <w:t xml:space="preserve">Affiliate </w:t>
      </w:r>
      <w:r>
        <w:rPr>
          <w:rFonts w:ascii="Times New Roman;sans-serif" w:hAnsi="Times New Roman;sans-serif"/>
          <w:b w:val="false"/>
          <w:color w:val="000000"/>
          <w:sz w:val="20"/>
        </w:rPr>
        <w:t>means in relation to a body corporate, an entity that: (i) owns or controls; (ii) is owned or controlled by; or (iii) is under common control or ownership with, in each case, it. For these purposes, “</w:t>
      </w:r>
      <w:r>
        <w:rPr>
          <w:rFonts w:ascii="Times New Roman;sans-serif" w:hAnsi="Times New Roman;sans-serif"/>
          <w:b/>
          <w:color w:val="000000"/>
          <w:sz w:val="20"/>
        </w:rPr>
        <w:t>control</w:t>
      </w:r>
      <w:r>
        <w:rPr>
          <w:color w:val="000000"/>
        </w:rPr>
        <w:t xml:space="preserve">” </w:t>
      </w:r>
      <w:r>
        <w:rPr>
          <w:rFonts w:ascii="Times New Roman;sans-serif" w:hAnsi="Times New Roman;sans-serif"/>
          <w:b w:val="false"/>
          <w:color w:val="000000"/>
          <w:sz w:val="20"/>
        </w:rPr>
        <w:t>means the possession, directly or indirectly, of the power to direct or cause the direction of the management and policies of an entity, whether through ownership of voting securities, by contract or otherwise.</w:t>
      </w:r>
    </w:p>
    <w:p>
      <w:pPr>
        <w:pStyle w:val="TextBody"/>
        <w:bidi w:val="0"/>
        <w:spacing w:lineRule="auto" w:line="288" w:before="0" w:after="200"/>
        <w:jc w:val="both"/>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means this License Agreement between the Parties with all Schedules hereto, as the same may be amended, modified or supplemented from time to time.</w:t>
      </w:r>
    </w:p>
    <w:p>
      <w:pPr>
        <w:pStyle w:val="TextBody"/>
        <w:bidi w:val="0"/>
        <w:spacing w:lineRule="auto" w:line="288" w:before="0" w:after="200"/>
        <w:jc w:val="both"/>
        <w:rPr/>
      </w:pPr>
      <w:r>
        <w:rPr>
          <w:rFonts w:ascii="Times New Roman;sans-serif" w:hAnsi="Times New Roman;sans-serif"/>
          <w:b/>
          <w:color w:val="000000"/>
          <w:sz w:val="20"/>
        </w:rPr>
        <w:t xml:space="preserve">Asset Purchase Agreement </w:t>
      </w:r>
      <w:r>
        <w:rPr>
          <w:rFonts w:ascii="Times New Roman;sans-serif" w:hAnsi="Times New Roman;sans-serif"/>
          <w:b w:val="false"/>
          <w:color w:val="000000"/>
          <w:sz w:val="20"/>
        </w:rPr>
        <w:t>means the Asset Purchase and Employee Transfer Agreement among the Parties, dated as of the same date as this Agreement, as the same may be amended from time to time.</w:t>
      </w:r>
    </w:p>
    <w:p>
      <w:pPr>
        <w:pStyle w:val="TextBody"/>
        <w:bidi w:val="0"/>
        <w:spacing w:lineRule="auto" w:line="288" w:before="0" w:after="200"/>
        <w:jc w:val="both"/>
        <w:rPr/>
      </w:pPr>
      <w:r>
        <w:rPr>
          <w:rFonts w:ascii="Times New Roman;sans-serif" w:hAnsi="Times New Roman;sans-serif"/>
          <w:b/>
          <w:color w:val="000000"/>
          <w:sz w:val="20"/>
        </w:rPr>
        <w:t>Brand Guides</w:t>
      </w:r>
      <w:r>
        <w:rPr>
          <w:color w:val="000000"/>
        </w:rPr>
        <w:t xml:space="preserve"> </w:t>
      </w:r>
      <w:r>
        <w:rPr>
          <w:rFonts w:ascii="Times New Roman;sans-serif" w:hAnsi="Times New Roman;sans-serif"/>
          <w:b w:val="false"/>
          <w:color w:val="000000"/>
          <w:sz w:val="20"/>
        </w:rPr>
        <w:t xml:space="preserve">means the instructions and rules on how to use the Trademarks as provided to IDNM and updated by the BuzzFeed Parties from time to time after informing IDNM. The current Brand Guides are attached as </w:t>
      </w:r>
      <w:r>
        <w:rPr>
          <w:rFonts w:ascii="Times New Roman;sans-serif" w:hAnsi="Times New Roman;sans-serif"/>
          <w:b w:val="false"/>
          <w:color w:val="000000"/>
          <w:sz w:val="20"/>
          <w:u w:val="single"/>
        </w:rPr>
        <w:t>Schedule 2</w:t>
      </w:r>
      <w:r>
        <w:rPr>
          <w:rFonts w:ascii="Times New Roman;sans-serif" w:hAnsi="Times New Roman;sans-serif"/>
          <w:b w:val="false"/>
          <w:color w:val="000000"/>
          <w:sz w:val="20"/>
        </w:rPr>
        <w:t>.</w:t>
      </w:r>
    </w:p>
    <w:p>
      <w:pPr>
        <w:pStyle w:val="TextBody"/>
        <w:bidi w:val="0"/>
        <w:spacing w:lineRule="auto" w:line="288" w:before="0" w:after="0"/>
        <w:jc w:val="left"/>
        <w:rPr/>
      </w:pPr>
      <w:r>
        <w:rPr>
          <w:rFonts w:ascii="Times New Roman;sans-serif" w:hAnsi="Times New Roman;sans-serif"/>
          <w:b/>
          <w:color w:val="000000"/>
          <w:sz w:val="20"/>
        </w:rPr>
        <w:t xml:space="preserve">Business Day </w:t>
      </w:r>
      <w:r>
        <w:rPr>
          <w:rFonts w:ascii="Times New Roman;sans-serif" w:hAnsi="Times New Roman;sans-serif"/>
          <w:b w:val="false"/>
          <w:color w:val="000000"/>
          <w:sz w:val="20"/>
        </w:rPr>
        <w:t>means days other than Saturdays, Sundays, and any day which is a public holiday in London, England, are authorized or obliged to close by law.</w:t>
      </w:r>
    </w:p>
    <w:p>
      <w:pPr>
        <w:pStyle w:val="TextBody"/>
        <w:bidi w:val="0"/>
        <w:spacing w:before="0" w:after="0"/>
        <w:jc w:val="left"/>
        <w:rPr/>
      </w:pPr>
      <w:r>
        <w:rPr/>
      </w:r>
    </w:p>
    <w:p>
      <w:pPr>
        <w:pStyle w:val="TextBody"/>
        <w:bidi w:val="0"/>
        <w:spacing w:lineRule="auto" w:line="288" w:before="0" w:after="200"/>
        <w:jc w:val="both"/>
        <w:rPr/>
      </w:pPr>
      <w:r>
        <w:rPr>
          <w:rFonts w:ascii="Times New Roman;sans-serif" w:hAnsi="Times New Roman;sans-serif"/>
          <w:b/>
          <w:color w:val="000000"/>
          <w:sz w:val="20"/>
        </w:rPr>
        <w:t xml:space="preserve">BuzzFeed Content </w:t>
      </w:r>
      <w:r>
        <w:rPr>
          <w:rFonts w:ascii="Times New Roman;sans-serif" w:hAnsi="Times New Roman;sans-serif"/>
          <w:b w:val="false"/>
          <w:color w:val="000000"/>
          <w:sz w:val="20"/>
        </w:rPr>
        <w:t>means,</w:t>
      </w:r>
      <w:r>
        <w:rPr>
          <w:color w:val="000000"/>
        </w:rPr>
        <w:t xml:space="preserve"> </w:t>
      </w:r>
      <w:r>
        <w:rPr>
          <w:rFonts w:ascii="Times New Roman;sans-serif" w:hAnsi="Times New Roman;sans-serif"/>
          <w:b w:val="false"/>
          <w:color w:val="000000"/>
          <w:sz w:val="20"/>
        </w:rPr>
        <w:t>collectively,</w:t>
      </w:r>
      <w:r>
        <w:rPr>
          <w:color w:val="000000"/>
        </w:rPr>
        <w:t xml:space="preserve"> </w:t>
      </w:r>
    </w:p>
    <w:p>
      <w:pPr>
        <w:pStyle w:val="TextBody"/>
        <w:bidi w:val="0"/>
        <w:spacing w:lineRule="auto" w:line="288" w:before="0" w:after="200"/>
        <w:ind w:left="0" w:right="0" w:hanging="360"/>
        <w:jc w:val="both"/>
        <w:rPr>
          <w:color w:val="000000"/>
        </w:rPr>
      </w:pPr>
      <w:r>
        <w:rPr>
          <w:color w:val="000000"/>
        </w:rPr>
        <w:t>    </w:t>
      </w:r>
      <w:r>
        <w:rPr>
          <w:rFonts w:ascii="Times New Roman;sans-serif" w:hAnsi="Times New Roman;sans-serif"/>
          <w:b w:val="false"/>
          <w:color w:val="000000"/>
          <w:sz w:val="20"/>
        </w:rPr>
        <w:t xml:space="preserve">the English-language editorial articles, quizzes, images, graphics, video and audio-visual content (excluding advertising content) that is made publicly accessible on the Licensed Platforms on the Effective Date or is accessible via the BuzzFeed Parties’ CMS in each case on or at any time after the Effective Date; and </w:t>
      </w:r>
    </w:p>
    <w:p>
      <w:pPr>
        <w:pStyle w:val="TextBody"/>
        <w:bidi w:val="0"/>
        <w:spacing w:before="0" w:after="200"/>
        <w:jc w:val="both"/>
        <w:rPr/>
      </w:pPr>
      <w:r>
        <w:rPr/>
      </w:r>
    </w:p>
    <w:p>
      <w:pPr>
        <w:pStyle w:val="TextBody"/>
        <w:bidi w:val="0"/>
        <w:spacing w:lineRule="auto" w:line="288" w:before="0" w:after="200"/>
        <w:ind w:left="0" w:right="0" w:hanging="360"/>
        <w:jc w:val="both"/>
        <w:rPr>
          <w:color w:val="000000"/>
        </w:rPr>
      </w:pPr>
      <w:r>
        <w:rPr>
          <w:color w:val="000000"/>
        </w:rPr>
        <w:t>    </w:t>
      </w:r>
      <w:r>
        <w:rPr>
          <w:rFonts w:ascii="Times New Roman;sans-serif" w:hAnsi="Times New Roman;sans-serif"/>
          <w:b w:val="false"/>
          <w:color w:val="000000"/>
          <w:sz w:val="20"/>
        </w:rPr>
        <w:t xml:space="preserve">the English-language editorial articles, quizzes, images, graphics, video and audio-visual content (excluding advertising content) made publicly accessible on the Global Sites after the Effective Date; </w: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provided that content that is merely linked or framed is not included.</w:t>
      </w:r>
    </w:p>
    <w:p>
      <w:pPr>
        <w:pStyle w:val="TextBody"/>
        <w:bidi w:val="0"/>
        <w:spacing w:lineRule="auto" w:line="288" w:before="0" w:after="200"/>
        <w:jc w:val="both"/>
        <w:rPr/>
      </w:pPr>
      <w:r>
        <w:rPr>
          <w:rFonts w:ascii="Times New Roman;sans-serif" w:hAnsi="Times New Roman;sans-serif"/>
          <w:b/>
          <w:color w:val="000000"/>
          <w:sz w:val="20"/>
        </w:rPr>
        <w:t xml:space="preserve">BuzzFeed UK Business </w:t>
      </w:r>
      <w:r>
        <w:rPr>
          <w:rFonts w:ascii="Times New Roman;sans-serif" w:hAnsi="Times New Roman;sans-serif"/>
          <w:b w:val="false"/>
          <w:color w:val="000000"/>
          <w:sz w:val="20"/>
        </w:rPr>
        <w:t>means the online media business currently operated by BuzzFeed UK but which is to be run by IDNM during the Term within the Territory using the Intellectual Property and the Content, which involves the provision of editorial, marketing, processing and other support services for the publication and distribution of entertainment and journalistic content, through its own contributors as well as the reporting of third parties, in the form of words, images, videos and sound.</w:t>
      </w:r>
    </w:p>
    <w:p>
      <w:pPr>
        <w:pStyle w:val="TextBody"/>
        <w:bidi w:val="0"/>
        <w:spacing w:lineRule="auto" w:line="288" w:before="0" w:after="200"/>
        <w:jc w:val="both"/>
        <w:rPr/>
      </w:pPr>
      <w:r>
        <w:rPr>
          <w:rFonts w:ascii="Times New Roman;sans-serif" w:hAnsi="Times New Roman;sans-serif"/>
          <w:b/>
          <w:color w:val="000000"/>
          <w:sz w:val="20"/>
        </w:rPr>
        <w:t xml:space="preserve">BuzzFeed Infringement Claim </w:t>
      </w:r>
      <w:r>
        <w:rPr>
          <w:rFonts w:ascii="Times New Roman;sans-serif" w:hAnsi="Times New Roman;sans-serif"/>
          <w:b w:val="false"/>
          <w:color w:val="000000"/>
          <w:sz w:val="20"/>
        </w:rPr>
        <w:t>has the meaning ascribed to it in Clause 11.</w:t>
      </w:r>
    </w:p>
    <w:p>
      <w:pPr>
        <w:pStyle w:val="TextBody"/>
        <w:bidi w:val="0"/>
        <w:spacing w:lineRule="auto" w:line="288" w:before="0" w:after="200"/>
        <w:jc w:val="both"/>
        <w:rPr/>
      </w:pPr>
      <w:r>
        <w:rPr>
          <w:rFonts w:ascii="Times New Roman;sans-serif" w:hAnsi="Times New Roman;sans-serif"/>
          <w:b/>
          <w:color w:val="000000"/>
          <w:sz w:val="20"/>
        </w:rPr>
        <w:t xml:space="preserve">BuzzFeed UK Intellectual Property </w:t>
      </w:r>
      <w:r>
        <w:rPr>
          <w:rFonts w:ascii="Times New Roman;sans-serif" w:hAnsi="Times New Roman;sans-serif"/>
          <w:b w:val="false"/>
          <w:color w:val="000000"/>
          <w:sz w:val="20"/>
        </w:rPr>
        <w:t>means, collectively, the BuzzFeed UK Trademarks, BuzzFeed Content, Social Media Accounts and Websites.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color w:val="000000"/>
          <w:sz w:val="20"/>
        </w:rPr>
        <w:t>Closing Date</w:t>
      </w:r>
      <w:r>
        <w:rPr>
          <w:color w:val="000000"/>
        </w:rPr>
        <w:t xml:space="preserve"> </w:t>
      </w: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color w:val="000000"/>
          <w:sz w:val="20"/>
        </w:rPr>
        <w:t>CMS</w:t>
      </w:r>
      <w:r>
        <w:rPr>
          <w:color w:val="000000"/>
        </w:rPr>
        <w:t xml:space="preserve"> </w:t>
      </w:r>
      <w:r>
        <w:rPr>
          <w:rFonts w:ascii="Times New Roman;sans-serif" w:hAnsi="Times New Roman;sans-serif"/>
          <w:b w:val="false"/>
          <w:color w:val="000000"/>
          <w:sz w:val="20"/>
        </w:rPr>
        <w:t>means the content management system and the AV Slater system established and maintained by the BuzzFeed Parties for the BuzzFeed Content provided by the BuzzFeed Parties to IDNM.</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color w:val="000000"/>
          <w:sz w:val="20"/>
        </w:rPr>
        <w:t>Effective Date</w:t>
      </w:r>
      <w:r>
        <w:rPr>
          <w:color w:val="000000"/>
        </w:rPr>
        <w:t xml:space="preserve"> </w:t>
      </w: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color w:val="000000"/>
          <w:sz w:val="20"/>
        </w:rPr>
        <w:t>Enforcement Request</w:t>
      </w:r>
      <w:r>
        <w:rPr>
          <w:color w:val="000000"/>
        </w:rPr>
        <w:t xml:space="preserve"> </w:t>
      </w:r>
      <w:r>
        <w:rPr>
          <w:rFonts w:ascii="Times New Roman;sans-serif" w:hAnsi="Times New Roman;sans-serif"/>
          <w:b w:val="false"/>
          <w:color w:val="000000"/>
          <w:sz w:val="20"/>
        </w:rPr>
        <w:t>has the meaning ascribed to it in Clause 10.1.</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85445"/>
                <wp:effectExtent l="0" t="0" r="0" b="0"/>
                <wp:wrapNone/>
                <wp:docPr id="169" name="Frame1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jc w:val="both"/>
        <w:rPr/>
      </w:pPr>
      <w:r>
        <w:rPr>
          <w:rFonts w:ascii="Times New Roman;sans-serif" w:hAnsi="Times New Roman;sans-serif"/>
          <w:b/>
          <w:color w:val="000000"/>
          <w:sz w:val="20"/>
        </w:rPr>
        <w:t xml:space="preserve">Existing Contracts </w:t>
      </w:r>
      <w:r>
        <w:rPr>
          <w:rFonts w:ascii="Times New Roman;sans-serif" w:hAnsi="Times New Roman;sans-serif"/>
          <w:b w:val="false"/>
          <w:color w:val="000000"/>
          <w:sz w:val="20"/>
        </w:rPr>
        <w:t>has the meaning ascribed to it in Clause 7.6.</w:t>
      </w:r>
    </w:p>
    <w:p>
      <w:pPr>
        <w:pStyle w:val="TextBody"/>
        <w:bidi w:val="0"/>
        <w:spacing w:lineRule="auto" w:line="288" w:before="0" w:after="0"/>
        <w:jc w:val="both"/>
        <w:rPr/>
      </w:pPr>
      <w:r>
        <w:rPr>
          <w:rFonts w:ascii="Times New Roman;sans-serif" w:hAnsi="Times New Roman;sans-serif"/>
          <w:b/>
          <w:color w:val="000000"/>
          <w:sz w:val="20"/>
        </w:rPr>
        <w:t xml:space="preserve">Force Majeure Event </w:t>
      </w:r>
      <w:r>
        <w:rPr>
          <w:rFonts w:ascii="Times New Roman;sans-serif" w:hAnsi="Times New Roman;sans-serif"/>
          <w:b w:val="false"/>
          <w:color w:val="000000"/>
          <w:sz w:val="20"/>
        </w:rPr>
        <w:t>means with respect to a Party, any cause or event beyond the reasonable control of such Party and its Affiliates, which could not have been mitigated with reasonable diligence, including acts of God, acts of the public enemy, any law or any action taken by a government or public authority, labor or trade disputes, strikes, lock outs, civil disturbances, acts of civil or military authority, embargoes, outbreaks, epidemics and pandemics (including any potential or actual COVID-19 or similar outbreak) or other public health emergency, acts of war or conditions arising out of or attributable to war (whether declared or undeclared), acts or threatened acts of terror or sabotage, riots, insurrections, nuclear, chemical or biological contamination or sonic boom, national or regional emergencies, collapse of buildings, fires, explosions, earthquakes, floods, droughts, other natural disasters, shortage of necessary equipment, materials or labor, or restrictions thereon or limitations upon the use thereof, and delays in transportation, technological disruptions, or, in the case of computer systems, any failure in electrical, any failure or delay in telecommunications,</w:t>
      </w:r>
      <w:r>
        <w:rPr>
          <w:color w:val="000000"/>
          <w:shd w:fill="FFFFFF" w:val="clear"/>
        </w:rPr>
        <w:t xml:space="preserve"> </w:t>
      </w:r>
      <w:r>
        <w:rPr>
          <w:rFonts w:ascii="Times New Roman;sans-serif" w:hAnsi="Times New Roman;sans-serif"/>
          <w:b w:val="false"/>
          <w:color w:val="000000"/>
          <w:sz w:val="20"/>
          <w:shd w:fill="FFFFFF" w:val="clear"/>
        </w:rPr>
        <w:t>technical equipment or infrastructure,</w:t>
      </w:r>
      <w:r>
        <w:rPr>
          <w:color w:val="000000"/>
        </w:rPr>
        <w:t xml:space="preserve"> </w:t>
      </w:r>
      <w:r>
        <w:rPr>
          <w:rFonts w:ascii="Times New Roman;sans-serif" w:hAnsi="Times New Roman;sans-serif"/>
          <w:b w:val="false"/>
          <w:color w:val="000000"/>
          <w:sz w:val="20"/>
        </w:rPr>
        <w:t xml:space="preserve">or air conditioning equipment or systems, or power failures, </w:t>
      </w:r>
      <w:r>
        <w:rPr>
          <w:rFonts w:ascii="Times New Roman;sans-serif" w:hAnsi="Times New Roman;sans-serif"/>
          <w:b w:val="false"/>
          <w:color w:val="000000"/>
          <w:sz w:val="20"/>
          <w:shd w:fill="FFFFFF" w:val="clear"/>
        </w:rPr>
        <w:t>or other similar or dissimilar events or circumstances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200"/>
        <w:jc w:val="both"/>
        <w:rPr/>
      </w:pPr>
      <w:r>
        <w:rPr>
          <w:rFonts w:ascii="Times New Roman;sans-serif" w:hAnsi="Times New Roman;sans-serif"/>
          <w:b/>
          <w:color w:val="000000"/>
          <w:sz w:val="20"/>
        </w:rPr>
        <w:t>Global Sites</w:t>
      </w:r>
      <w:r>
        <w:rPr>
          <w:color w:val="000000"/>
        </w:rPr>
        <w:t xml:space="preserve"> </w:t>
      </w:r>
      <w:r>
        <w:rPr>
          <w:rFonts w:ascii="Times New Roman;sans-serif" w:hAnsi="Times New Roman;sans-serif"/>
          <w:b w:val="false"/>
          <w:color w:val="000000"/>
          <w:sz w:val="20"/>
        </w:rPr>
        <w:t>has the meaning ascribed to it in Clause 7.6.1.</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color w:val="000000"/>
          <w:sz w:val="20"/>
        </w:rPr>
        <w:t xml:space="preserve">HuffPost UK Intellectual Property </w:t>
      </w:r>
      <w:r>
        <w:rPr>
          <w:rFonts w:ascii="Times New Roman;sans-serif" w:hAnsi="Times New Roman;sans-serif"/>
          <w:b w:val="false"/>
          <w:color w:val="000000"/>
          <w:sz w:val="20"/>
        </w:rPr>
        <w:t>means, collectively, the HuffPost UK Trademarks, BuzzFeed Content, Social Media Accounts and Websites.</w:t>
      </w:r>
    </w:p>
    <w:p>
      <w:pPr>
        <w:pStyle w:val="TextBody"/>
        <w:bidi w:val="0"/>
        <w:spacing w:lineRule="auto" w:line="288" w:before="0" w:after="200"/>
        <w:jc w:val="both"/>
        <w:rPr/>
      </w:pPr>
      <w:r>
        <w:rPr>
          <w:rFonts w:ascii="Times New Roman;sans-serif" w:hAnsi="Times New Roman;sans-serif"/>
          <w:b/>
          <w:color w:val="000000"/>
          <w:sz w:val="20"/>
        </w:rPr>
        <w:t>IDNM Infringement Claim</w:t>
      </w:r>
      <w:r>
        <w:rPr>
          <w:color w:val="000000"/>
        </w:rPr>
        <w:t xml:space="preserve"> </w:t>
      </w:r>
      <w:r>
        <w:rPr>
          <w:rFonts w:ascii="Times New Roman;sans-serif" w:hAnsi="Times New Roman;sans-serif"/>
          <w:b w:val="false"/>
          <w:color w:val="000000"/>
          <w:sz w:val="20"/>
        </w:rPr>
        <w:t>has the meaning ascribed to it in Clause 12.</w:t>
      </w:r>
    </w:p>
    <w:p>
      <w:pPr>
        <w:pStyle w:val="TextBody"/>
        <w:bidi w:val="0"/>
        <w:spacing w:lineRule="auto" w:line="288" w:before="0" w:after="200"/>
        <w:jc w:val="both"/>
        <w:rPr/>
      </w:pPr>
      <w:r>
        <w:rPr>
          <w:rFonts w:ascii="Times New Roman;sans-serif" w:hAnsi="Times New Roman;sans-serif"/>
          <w:b/>
          <w:color w:val="000000"/>
          <w:sz w:val="20"/>
        </w:rPr>
        <w:t xml:space="preserve">IDNM-Owned Content </w:t>
      </w:r>
      <w:r>
        <w:rPr>
          <w:rFonts w:ascii="Times New Roman;sans-serif" w:hAnsi="Times New Roman;sans-serif"/>
          <w:b w:val="false"/>
          <w:color w:val="000000"/>
          <w:sz w:val="20"/>
        </w:rPr>
        <w:t xml:space="preserve">means content exclusively produced for a third party’s platforms and sites (including, but not limited to, written content, quizzes, images, video and audio content) and owned by IDNM, except for advertising content. </w:t>
      </w:r>
    </w:p>
    <w:p>
      <w:pPr>
        <w:pStyle w:val="TextBody"/>
        <w:bidi w:val="0"/>
        <w:spacing w:lineRule="auto" w:line="288" w:before="0" w:after="200"/>
        <w:jc w:val="both"/>
        <w:rPr/>
      </w:pPr>
      <w:r>
        <w:rPr>
          <w:rFonts w:ascii="Times New Roman;sans-serif" w:hAnsi="Times New Roman;sans-serif"/>
          <w:b/>
          <w:color w:val="000000"/>
          <w:sz w:val="20"/>
        </w:rPr>
        <w:t xml:space="preserve">IDNM-Produced Content </w:t>
      </w:r>
      <w:r>
        <w:rPr>
          <w:rFonts w:ascii="Times New Roman;sans-serif" w:hAnsi="Times New Roman;sans-serif"/>
          <w:b w:val="false"/>
          <w:color w:val="000000"/>
          <w:sz w:val="20"/>
        </w:rPr>
        <w:t>means the English-language content produced by IDNM exclusively for and/or initially exploited on the Licensed Platforms during the Term, and which shall be owned by the BuzzFeed Parties. For avoidance of doubt, any Master Files incorporated into any IDNM-Produced Content shall remain the sole property of IDNM, and subject to a royalty-free license granted to the BuzzFeed Parties under the terms of this Agreement.</w:t>
      </w:r>
    </w:p>
    <w:p>
      <w:pPr>
        <w:pStyle w:val="TextBody"/>
        <w:bidi w:val="0"/>
        <w:spacing w:lineRule="auto" w:line="288" w:before="0" w:after="200"/>
        <w:jc w:val="both"/>
        <w:rPr/>
      </w:pPr>
      <w:r>
        <w:rPr>
          <w:rFonts w:ascii="Times New Roman;sans-serif" w:hAnsi="Times New Roman;sans-serif"/>
          <w:b/>
          <w:color w:val="000000"/>
          <w:sz w:val="20"/>
        </w:rPr>
        <w:t xml:space="preserve">Indemnify </w:t>
      </w:r>
      <w:r>
        <w:rPr>
          <w:rFonts w:ascii="Times New Roman;sans-serif" w:hAnsi="Times New Roman;sans-serif"/>
          <w:b w:val="false"/>
          <w:color w:val="000000"/>
          <w:sz w:val="20"/>
        </w:rPr>
        <w:t>has the meaning ascribed to it in Clause 11.1 and Clause 12.1.</w:t>
      </w:r>
    </w:p>
    <w:p>
      <w:pPr>
        <w:pStyle w:val="TextBody"/>
        <w:bidi w:val="0"/>
        <w:spacing w:lineRule="auto" w:line="288" w:before="0" w:after="200"/>
        <w:jc w:val="both"/>
        <w:rPr/>
      </w:pPr>
      <w:r>
        <w:rPr>
          <w:rFonts w:ascii="Times New Roman;sans-serif" w:hAnsi="Times New Roman;sans-serif"/>
          <w:b/>
          <w:color w:val="000000"/>
          <w:sz w:val="20"/>
        </w:rPr>
        <w:t xml:space="preserve">Intellectual Property </w:t>
      </w:r>
      <w:r>
        <w:rPr>
          <w:rFonts w:ascii="Times New Roman;sans-serif" w:hAnsi="Times New Roman;sans-serif"/>
          <w:b w:val="false"/>
          <w:color w:val="000000"/>
          <w:sz w:val="20"/>
        </w:rPr>
        <w:t>means, collectively, the Trademarks, Social Media Accounts and Websites.</w:t>
      </w:r>
    </w:p>
    <w:p>
      <w:pPr>
        <w:pStyle w:val="TextBody"/>
        <w:bidi w:val="0"/>
        <w:spacing w:lineRule="auto" w:line="288" w:before="0" w:after="200"/>
        <w:jc w:val="both"/>
        <w:rPr/>
      </w:pPr>
      <w:r>
        <w:rPr>
          <w:rFonts w:ascii="Times New Roman;sans-serif" w:hAnsi="Times New Roman;sans-serif"/>
          <w:b/>
          <w:color w:val="000000"/>
          <w:sz w:val="20"/>
        </w:rPr>
        <w:t>Intellectual Property and Content License</w:t>
      </w:r>
      <w:r>
        <w:rPr>
          <w:color w:val="000000"/>
        </w:rPr>
        <w:t xml:space="preserve"> </w:t>
      </w:r>
      <w:r>
        <w:rPr>
          <w:rFonts w:ascii="Times New Roman;sans-serif" w:hAnsi="Times New Roman;sans-serif"/>
          <w:b w:val="false"/>
          <w:color w:val="000000"/>
          <w:sz w:val="20"/>
        </w:rPr>
        <w:t>has the meaning ascribed to it in Clause 2.6.</w:t>
      </w:r>
    </w:p>
    <w:p>
      <w:pPr>
        <w:pStyle w:val="TextBody"/>
        <w:bidi w:val="0"/>
        <w:spacing w:lineRule="auto" w:line="288" w:before="0" w:after="200"/>
        <w:jc w:val="both"/>
        <w:rPr/>
      </w:pPr>
      <w:r>
        <w:rPr>
          <w:rFonts w:ascii="Times New Roman;sans-serif" w:hAnsi="Times New Roman;sans-serif"/>
          <w:b/>
          <w:color w:val="000000"/>
          <w:sz w:val="20"/>
        </w:rPr>
        <w:t>Intellectual Property Rights</w:t>
      </w:r>
      <w:r>
        <w:rPr>
          <w:color w:val="000000"/>
        </w:rPr>
        <w:t xml:space="preserve"> </w:t>
      </w:r>
      <w:r>
        <w:rPr>
          <w:rFonts w:ascii="Times New Roman;sans-serif" w:hAnsi="Times New Roman;sans-serif"/>
          <w:b w:val="false"/>
          <w:color w:val="000000"/>
          <w:sz w:val="20"/>
        </w:rPr>
        <w:t>means all intellectual property rights, including patents, trade and service marks, rights to domain names, rights in passing off, registered and unregistered designs, rights in confidential information, rights in know-how, database rights, topography rights, copyright (including rights in software), rights in any invention, and applications for registration of any of the foregoing, and the right to apply therefor, in each case in any part of the world.</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color w:val="000000"/>
          <w:sz w:val="20"/>
        </w:rPr>
        <w:t xml:space="preserve">IT Services Agreement </w:t>
      </w:r>
      <w:r>
        <w:rPr>
          <w:rFonts w:ascii="Times New Roman;sans-serif" w:hAnsi="Times New Roman;sans-serif"/>
          <w:b w:val="false"/>
          <w:color w:val="000000"/>
          <w:sz w:val="20"/>
        </w:rPr>
        <w:t>means the IT Services Agreement between the Parties dated as of the same date as this Agreement.</w:t>
      </w:r>
    </w:p>
    <w:p>
      <w:pPr>
        <w:pStyle w:val="TextBody"/>
        <w:bidi w:val="0"/>
        <w:spacing w:lineRule="auto" w:line="288" w:before="0" w:after="200"/>
        <w:jc w:val="both"/>
        <w:rPr/>
      </w:pPr>
      <w:r>
        <w:rPr>
          <w:rFonts w:ascii="Times New Roman;sans-serif" w:hAnsi="Times New Roman;sans-serif"/>
          <w:b/>
          <w:color w:val="000000"/>
          <w:sz w:val="20"/>
        </w:rPr>
        <w:t xml:space="preserve">License Fee(s) </w:t>
      </w: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color w:val="000000"/>
          <w:sz w:val="20"/>
        </w:rPr>
        <w:t>Licensed Platforms</w:t>
      </w:r>
      <w:r>
        <w:rPr>
          <w:color w:val="000000"/>
        </w:rPr>
        <w:t xml:space="preserve"> </w:t>
      </w:r>
      <w:r>
        <w:rPr>
          <w:rFonts w:ascii="Times New Roman;sans-serif" w:hAnsi="Times New Roman;sans-serif"/>
          <w:b w:val="false"/>
          <w:color w:val="000000"/>
          <w:sz w:val="20"/>
        </w:rPr>
        <w:t>means, collectively, the Websites and Social Media Accounts.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85445"/>
                <wp:effectExtent l="0" t="0" r="0" b="0"/>
                <wp:wrapNone/>
                <wp:docPr id="170" name="Frame1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jc w:val="both"/>
        <w:rPr/>
      </w:pPr>
      <w:r>
        <w:rPr>
          <w:rFonts w:ascii="Times New Roman;sans-serif" w:hAnsi="Times New Roman;sans-serif"/>
          <w:b/>
          <w:color w:val="000000"/>
          <w:sz w:val="20"/>
        </w:rPr>
        <w:t xml:space="preserve">Net Revenue </w:t>
      </w: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color w:val="000000"/>
          <w:sz w:val="20"/>
        </w:rPr>
        <w:t>Net Sales Revenue</w:t>
      </w:r>
      <w:r>
        <w:rPr>
          <w:color w:val="000000"/>
        </w:rPr>
        <w:t xml:space="preserve"> </w:t>
      </w:r>
      <w:r>
        <w:rPr>
          <w:rFonts w:ascii="Times New Roman;sans-serif" w:hAnsi="Times New Roman;sans-serif"/>
          <w:b w:val="false"/>
          <w:color w:val="000000"/>
          <w:sz w:val="20"/>
        </w:rPr>
        <w:t xml:space="preserve">[***].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color w:val="000000"/>
          <w:sz w:val="20"/>
        </w:rPr>
        <w:t xml:space="preserve">Percentage </w:t>
      </w:r>
      <w:r>
        <w:rPr>
          <w:rFonts w:ascii="Times New Roman;sans-serif" w:hAnsi="Times New Roman;sans-serif"/>
          <w:b w:val="false"/>
          <w:color w:val="000000"/>
          <w:sz w:val="20"/>
        </w:rPr>
        <w:t>has the meaning ascribed to it in Clause 8.3.</w:t>
      </w:r>
    </w:p>
    <w:p>
      <w:pPr>
        <w:pStyle w:val="TextBody"/>
        <w:bidi w:val="0"/>
        <w:spacing w:lineRule="auto" w:line="288" w:before="0" w:after="200"/>
        <w:jc w:val="both"/>
        <w:rPr/>
      </w:pPr>
      <w:r>
        <w:rPr>
          <w:rFonts w:ascii="Times New Roman;sans-serif" w:hAnsi="Times New Roman;sans-serif"/>
          <w:b/>
          <w:color w:val="000000"/>
          <w:sz w:val="20"/>
        </w:rPr>
        <w:t xml:space="preserve">Persons </w:t>
      </w:r>
      <w:r>
        <w:rPr>
          <w:rFonts w:ascii="Times New Roman;sans-serif" w:hAnsi="Times New Roman;sans-serif"/>
          <w:b w:val="false"/>
          <w:color w:val="000000"/>
          <w:sz w:val="20"/>
        </w:rPr>
        <w:t>means any individual, partnership, joint venture, corporation, limited liability company, trust, association, governmental authority or other entity.</w:t>
      </w:r>
    </w:p>
    <w:p>
      <w:pPr>
        <w:pStyle w:val="TextBody"/>
        <w:bidi w:val="0"/>
        <w:spacing w:lineRule="auto" w:line="288" w:before="0" w:after="200"/>
        <w:jc w:val="both"/>
        <w:rPr/>
      </w:pPr>
      <w:r>
        <w:rPr>
          <w:rFonts w:ascii="Times New Roman;sans-serif" w:hAnsi="Times New Roman;sans-serif"/>
          <w:b/>
          <w:color w:val="000000"/>
          <w:sz w:val="20"/>
        </w:rPr>
        <w:t xml:space="preserve">Principal Transaction Agreements </w:t>
      </w:r>
      <w:r>
        <w:rPr>
          <w:rFonts w:ascii="Times New Roman;sans-serif" w:hAnsi="Times New Roman;sans-serif"/>
          <w:b w:val="false"/>
          <w:color w:val="000000"/>
          <w:sz w:val="20"/>
        </w:rPr>
        <w:t>means this Agreement, the IT Services Agreement and the Asset Purchase Agreement, and any ancillary agreements referred to in them.</w:t>
      </w:r>
    </w:p>
    <w:p>
      <w:pPr>
        <w:pStyle w:val="TextBody"/>
        <w:bidi w:val="0"/>
        <w:spacing w:lineRule="auto" w:line="288" w:before="0" w:after="200"/>
        <w:jc w:val="both"/>
        <w:rPr/>
      </w:pPr>
      <w:r>
        <w:rPr>
          <w:rFonts w:ascii="Times New Roman;sans-serif" w:hAnsi="Times New Roman;sans-serif"/>
          <w:b/>
          <w:color w:val="000000"/>
          <w:sz w:val="20"/>
        </w:rPr>
        <w:t>Programmatic Revenue</w:t>
      </w:r>
      <w:r>
        <w:rPr>
          <w:color w:val="000000"/>
        </w:rPr>
        <w:t xml:space="preserve"> </w:t>
      </w:r>
      <w:r>
        <w:rPr>
          <w:rFonts w:ascii="Times New Roman;sans-serif" w:hAnsi="Times New Roman;sans-serif"/>
          <w:b w:val="false"/>
          <w:color w:val="000000"/>
          <w:sz w:val="20"/>
        </w:rPr>
        <w:t>has the meaning ascribed to it in Clause 4.6.</w:t>
      </w:r>
    </w:p>
    <w:p>
      <w:pPr>
        <w:pStyle w:val="TextBody"/>
        <w:bidi w:val="0"/>
        <w:spacing w:lineRule="auto" w:line="288" w:before="0" w:after="200"/>
        <w:jc w:val="both"/>
        <w:rPr/>
      </w:pPr>
      <w:r>
        <w:rPr>
          <w:rFonts w:ascii="Times New Roman;sans-serif" w:hAnsi="Times New Roman;sans-serif"/>
          <w:b/>
          <w:color w:val="000000"/>
          <w:sz w:val="20"/>
        </w:rPr>
        <w:t xml:space="preserve">Quarter </w:t>
      </w:r>
      <w:r>
        <w:rPr>
          <w:rFonts w:ascii="Times New Roman;sans-serif" w:hAnsi="Times New Roman;sans-serif"/>
          <w:b w:val="false"/>
          <w:color w:val="000000"/>
          <w:sz w:val="20"/>
        </w:rPr>
        <w:t>means each 3-month period of the Year, commencing on April 1, July 1, October 1 and January 1, respectively.</w:t>
      </w:r>
    </w:p>
    <w:p>
      <w:pPr>
        <w:pStyle w:val="TextBody"/>
        <w:bidi w:val="0"/>
        <w:spacing w:lineRule="auto" w:line="288" w:before="0" w:after="0"/>
        <w:jc w:val="left"/>
        <w:rPr/>
      </w:pPr>
      <w:r>
        <w:rPr>
          <w:rFonts w:ascii="Times New Roman;sans-serif" w:hAnsi="Times New Roman;sans-serif"/>
          <w:b/>
          <w:color w:val="000000"/>
          <w:sz w:val="20"/>
        </w:rPr>
        <w:t>Representative</w:t>
      </w:r>
      <w:r>
        <w:rPr>
          <w:rFonts w:ascii="Times New Roman;sans-serif" w:hAnsi="Times New Roman;sans-serif"/>
          <w:b w:val="false"/>
          <w:color w:val="000000"/>
          <w:sz w:val="20"/>
        </w:rPr>
        <w:t>(s) means any persons appointed as such in accordance with the IT Services Agreement.</w:t>
      </w:r>
    </w:p>
    <w:p>
      <w:pPr>
        <w:pStyle w:val="TextBody"/>
        <w:bidi w:val="0"/>
        <w:spacing w:before="0" w:after="0"/>
        <w:jc w:val="left"/>
        <w:rPr/>
      </w:pPr>
      <w:r>
        <w:rPr/>
      </w:r>
    </w:p>
    <w:p>
      <w:pPr>
        <w:pStyle w:val="TextBody"/>
        <w:bidi w:val="0"/>
        <w:spacing w:lineRule="auto" w:line="288" w:before="0" w:after="200"/>
        <w:jc w:val="both"/>
        <w:rPr/>
      </w:pPr>
      <w:r>
        <w:rPr>
          <w:rFonts w:ascii="Times New Roman;sans-serif" w:hAnsi="Times New Roman;sans-serif"/>
          <w:b/>
          <w:color w:val="000000"/>
          <w:sz w:val="20"/>
        </w:rPr>
        <w:t xml:space="preserve">Royalty Statement </w:t>
      </w:r>
      <w:r>
        <w:rPr>
          <w:rFonts w:ascii="Times New Roman;sans-serif" w:hAnsi="Times New Roman;sans-serif"/>
          <w:b w:val="false"/>
          <w:color w:val="000000"/>
          <w:sz w:val="20"/>
        </w:rPr>
        <w:t xml:space="preserve">means a written royalty statement of sufficiently specific detail, concerning the computation of License Fees then due to the BuzzFeed Parties and payment to the BuzzFeed Parties for each Quarter (3-month period) of the Year, together with reasonably detailed supporting documentation, in a form and format that shall enable the BuzzFeed Parties to verify the amount of payments to be made to the BuzzFeed Parties under this Agreement. In addition, the quarterly statement for the final Quarter of each Year shall include an annual report of the foregoing for the entire Year. A template Royalty Statement is attached to this Agreement as </w:t>
      </w:r>
      <w:r>
        <w:rPr>
          <w:rFonts w:ascii="Times New Roman;sans-serif" w:hAnsi="Times New Roman;sans-serif"/>
          <w:b w:val="false"/>
          <w:color w:val="000000"/>
          <w:sz w:val="20"/>
          <w:u w:val="single"/>
        </w:rPr>
        <w:t>Schedule 8.1</w:t>
      </w: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color w:val="000000"/>
          <w:sz w:val="20"/>
        </w:rPr>
        <w:t>Schedules</w:t>
      </w:r>
      <w:r>
        <w:rPr>
          <w:color w:val="000000"/>
        </w:rPr>
        <w:t xml:space="preserve"> </w:t>
      </w:r>
      <w:r>
        <w:rPr>
          <w:rFonts w:ascii="Times New Roman;sans-serif" w:hAnsi="Times New Roman;sans-serif"/>
          <w:b w:val="false"/>
          <w:color w:val="000000"/>
          <w:sz w:val="20"/>
        </w:rPr>
        <w:t>means the schedules to this Agreement.</w:t>
      </w:r>
    </w:p>
    <w:p>
      <w:pPr>
        <w:pStyle w:val="TextBody"/>
        <w:bidi w:val="0"/>
        <w:spacing w:lineRule="auto" w:line="288" w:before="0" w:after="200"/>
        <w:jc w:val="both"/>
        <w:rPr/>
      </w:pPr>
      <w:r>
        <w:rPr>
          <w:rFonts w:ascii="Times New Roman;sans-serif" w:hAnsi="Times New Roman;sans-serif"/>
          <w:b/>
          <w:color w:val="000000"/>
          <w:sz w:val="20"/>
        </w:rPr>
        <w:t>Social Media Accounts</w:t>
      </w:r>
      <w:r>
        <w:rPr>
          <w:color w:val="000000"/>
        </w:rPr>
        <w:t xml:space="preserve"> </w:t>
      </w:r>
      <w:r>
        <w:rPr>
          <w:rFonts w:ascii="Times New Roman;sans-serif" w:hAnsi="Times New Roman;sans-serif"/>
          <w:b w:val="false"/>
          <w:color w:val="000000"/>
          <w:sz w:val="20"/>
        </w:rPr>
        <w:t xml:space="preserve">means the social media sites associated with the social media accounts listed in </w:t>
      </w:r>
      <w:r>
        <w:rPr>
          <w:rFonts w:ascii="Times New Roman;sans-serif" w:hAnsi="Times New Roman;sans-serif"/>
          <w:b w:val="false"/>
          <w:color w:val="000000"/>
          <w:sz w:val="20"/>
          <w:u w:val="single"/>
        </w:rPr>
        <w:t>Schedule 1.3</w:t>
      </w: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color w:val="000000"/>
          <w:sz w:val="20"/>
        </w:rPr>
        <w:t xml:space="preserve">Tasty UK Intellectual Property </w:t>
      </w:r>
      <w:r>
        <w:rPr>
          <w:rFonts w:ascii="Times New Roman;sans-serif" w:hAnsi="Times New Roman;sans-serif"/>
          <w:b w:val="false"/>
          <w:color w:val="000000"/>
          <w:sz w:val="20"/>
        </w:rPr>
        <w:t>means, collectively, the Tasty UK Trademarks, BuzzFeed Content, Social Media Accounts and Websites.</w:t>
      </w:r>
    </w:p>
    <w:p>
      <w:pPr>
        <w:pStyle w:val="TextBody"/>
        <w:bidi w:val="0"/>
        <w:spacing w:lineRule="auto" w:line="288" w:before="0" w:after="200"/>
        <w:jc w:val="both"/>
        <w:rPr/>
      </w:pPr>
      <w:r>
        <w:rPr>
          <w:rFonts w:ascii="Times New Roman;sans-serif" w:hAnsi="Times New Roman;sans-serif"/>
          <w:b/>
          <w:color w:val="000000"/>
          <w:sz w:val="20"/>
        </w:rPr>
        <w:t>Term</w:t>
      </w:r>
      <w:r>
        <w:rPr>
          <w:color w:val="000000"/>
        </w:rPr>
        <w:t xml:space="preserve"> </w:t>
      </w:r>
      <w:r>
        <w:rPr>
          <w:rFonts w:ascii="Times New Roman;sans-serif" w:hAnsi="Times New Roman;sans-serif"/>
          <w:b w:val="false"/>
          <w:color w:val="000000"/>
          <w:sz w:val="20"/>
        </w:rPr>
        <w:t>has the meaning ascribed to it in Clause 17.1.</w:t>
      </w:r>
    </w:p>
    <w:p>
      <w:pPr>
        <w:pStyle w:val="TextBody"/>
        <w:bidi w:val="0"/>
        <w:spacing w:lineRule="auto" w:line="288" w:before="0" w:after="200"/>
        <w:jc w:val="both"/>
        <w:rPr/>
      </w:pPr>
      <w:r>
        <w:rPr>
          <w:rFonts w:ascii="Times New Roman;sans-serif" w:hAnsi="Times New Roman;sans-serif"/>
          <w:b/>
          <w:color w:val="000000"/>
          <w:sz w:val="20"/>
        </w:rPr>
        <w:t>Termination Percentage</w:t>
      </w:r>
      <w:r>
        <w:rPr>
          <w:color w:val="000000"/>
        </w:rPr>
        <w:t xml:space="preserve"> </w:t>
      </w:r>
      <w:r>
        <w:rPr>
          <w:rFonts w:ascii="Times New Roman;sans-serif" w:hAnsi="Times New Roman;sans-serif"/>
          <w:b w:val="false"/>
          <w:color w:val="000000"/>
          <w:sz w:val="20"/>
        </w:rPr>
        <w:t>has the meaning ascribed to it in Clause 17.4.2.</w:t>
      </w:r>
    </w:p>
    <w:p>
      <w:pPr>
        <w:pStyle w:val="TextBody"/>
        <w:bidi w:val="0"/>
        <w:spacing w:lineRule="auto" w:line="288" w:before="0" w:after="200"/>
        <w:jc w:val="both"/>
        <w:rPr/>
      </w:pPr>
      <w:r>
        <w:rPr>
          <w:rFonts w:ascii="Times New Roman;sans-serif" w:hAnsi="Times New Roman;sans-serif"/>
          <w:b/>
          <w:color w:val="000000"/>
          <w:sz w:val="20"/>
        </w:rPr>
        <w:t>Territory</w:t>
      </w:r>
      <w:r>
        <w:rPr>
          <w:color w:val="000000"/>
        </w:rPr>
        <w:t xml:space="preserve"> </w:t>
      </w:r>
      <w:r>
        <w:rPr>
          <w:rFonts w:ascii="Times New Roman;sans-serif" w:hAnsi="Times New Roman;sans-serif"/>
          <w:b w:val="false"/>
          <w:color w:val="000000"/>
          <w:sz w:val="20"/>
        </w:rPr>
        <w:t xml:space="preserve">means the national territories of the United Kingdom and Ireland. </w:t>
      </w:r>
    </w:p>
    <w:p>
      <w:pPr>
        <w:pStyle w:val="TextBody"/>
        <w:bidi w:val="0"/>
        <w:spacing w:lineRule="auto" w:line="288" w:before="0" w:after="200"/>
        <w:jc w:val="both"/>
        <w:rPr/>
      </w:pPr>
      <w:r>
        <w:rPr>
          <w:rFonts w:ascii="Times New Roman;sans-serif" w:hAnsi="Times New Roman;sans-serif"/>
          <w:b/>
          <w:color w:val="000000"/>
          <w:sz w:val="20"/>
        </w:rPr>
        <w:t xml:space="preserve">Third-Party Content </w:t>
      </w:r>
      <w:r>
        <w:rPr>
          <w:rFonts w:ascii="Times New Roman;sans-serif" w:hAnsi="Times New Roman;sans-serif"/>
          <w:b w:val="false"/>
          <w:color w:val="000000"/>
          <w:sz w:val="20"/>
        </w:rPr>
        <w:t xml:space="preserve">means any content that is not owned by the BuzzFeed Parties or IDNM that may be included in the BuzzFeed Content, IDNM-Owned Content or IDNM-Produced Content. </w:t>
      </w:r>
    </w:p>
    <w:p>
      <w:pPr>
        <w:pStyle w:val="TextBody"/>
        <w:bidi w:val="0"/>
        <w:spacing w:lineRule="auto" w:line="288" w:before="0" w:after="200"/>
        <w:jc w:val="both"/>
        <w:rPr/>
      </w:pPr>
      <w:r>
        <w:rPr>
          <w:rFonts w:ascii="Times New Roman;sans-serif" w:hAnsi="Times New Roman;sans-serif"/>
          <w:b/>
          <w:color w:val="000000"/>
          <w:sz w:val="20"/>
        </w:rPr>
        <w:t xml:space="preserve">Trademarks </w:t>
      </w:r>
      <w:r>
        <w:rPr>
          <w:rFonts w:ascii="Times New Roman;sans-serif" w:hAnsi="Times New Roman;sans-serif"/>
          <w:b w:val="false"/>
          <w:color w:val="000000"/>
          <w:sz w:val="20"/>
        </w:rPr>
        <w:t xml:space="preserve">means the trademarks and/or service marks listed in </w:t>
      </w:r>
      <w:r>
        <w:rPr>
          <w:rFonts w:ascii="Times New Roman;sans-serif" w:hAnsi="Times New Roman;sans-serif"/>
          <w:b w:val="false"/>
          <w:color w:val="000000"/>
          <w:sz w:val="20"/>
          <w:u w:val="single"/>
        </w:rPr>
        <w:t>Schedule 1.2.</w:t>
      </w:r>
    </w:p>
    <w:p>
      <w:pPr>
        <w:pStyle w:val="TextBody"/>
        <w:bidi w:val="0"/>
        <w:spacing w:lineRule="auto" w:line="288" w:before="0" w:after="200"/>
        <w:jc w:val="both"/>
        <w:rPr/>
      </w:pPr>
      <w:r>
        <w:rPr>
          <w:rFonts w:ascii="Times New Roman;sans-serif" w:hAnsi="Times New Roman;sans-serif"/>
          <w:b/>
          <w:color w:val="000000"/>
          <w:sz w:val="20"/>
        </w:rPr>
        <w:t xml:space="preserve">Websites </w:t>
      </w:r>
      <w:r>
        <w:rPr>
          <w:rFonts w:ascii="Times New Roman;sans-serif" w:hAnsi="Times New Roman;sans-serif"/>
          <w:b w:val="false"/>
          <w:color w:val="000000"/>
          <w:sz w:val="20"/>
        </w:rPr>
        <w:t xml:space="preserve">means the internet domain names listed in </w:t>
      </w:r>
      <w:r>
        <w:rPr>
          <w:rFonts w:ascii="Times New Roman;sans-serif" w:hAnsi="Times New Roman;sans-serif"/>
          <w:b w:val="false"/>
          <w:color w:val="000000"/>
          <w:sz w:val="20"/>
          <w:u w:val="single"/>
        </w:rPr>
        <w:t>Schedule 1.3</w:t>
      </w:r>
      <w:r>
        <w:rPr>
          <w:rFonts w:ascii="Times New Roman;sans-serif" w:hAnsi="Times New Roman;sans-serif"/>
          <w:b w:val="false"/>
          <w:color w:val="000000"/>
          <w:sz w:val="20"/>
        </w:rPr>
        <w:t>.</w:t>
      </w:r>
    </w:p>
    <w:p>
      <w:pPr>
        <w:pStyle w:val="TextBody"/>
        <w:bidi w:val="0"/>
        <w:spacing w:lineRule="auto" w:line="288" w:before="0" w:after="200"/>
        <w:jc w:val="both"/>
        <w:rPr/>
      </w:pPr>
      <w:r>
        <w:rPr>
          <w:rFonts w:ascii="Times New Roman;sans-serif" w:hAnsi="Times New Roman;sans-serif"/>
          <w:b w:val="false"/>
          <w:color w:val="000000"/>
          <w:sz w:val="20"/>
        </w:rPr>
        <w:t>[***]</w:t>
      </w:r>
      <w:r>
        <w:rPr>
          <w:rFonts w:ascii="Times New Roman;sans-serif" w:hAnsi="Times New Roman;sans-serif"/>
          <w:b/>
          <w:color w:val="000000"/>
          <w:sz w:val="20"/>
        </w:rPr>
        <w:t>Year</w:t>
      </w:r>
      <w:r>
        <w:rPr>
          <w:color w:val="000000"/>
        </w:rPr>
        <w:t xml:space="preserve"> </w:t>
      </w:r>
      <w:r>
        <w:rPr>
          <w:rFonts w:ascii="Times New Roman;sans-serif" w:hAnsi="Times New Roman;sans-serif"/>
          <w:b w:val="false"/>
          <w:color w:val="000000"/>
          <w:sz w:val="20"/>
        </w:rPr>
        <w:t>means each 12-month period from the Effective Date and each anniversary thereof through and including the day immediately prior to the next anniversary of the Effective Date or if earlier the last day of the Term.</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to statutes or statutory provisions shall be construed to include references to:</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those statutes or provisions as amended or re-enacted from time to time, or as their application is modified by other provisions (whether before or after the date of this Agreement);</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 xml:space="preserve">any statute or provision of which they themselves are re-enactments; and </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any orders, regulations, instruments or other subordinate legislation under the relevant statute or statutory provision.</w:t>
      </w:r>
    </w:p>
    <w:p>
      <w:pPr>
        <w:pStyle w:val="TextBody"/>
        <w:bidi w:val="0"/>
        <w:jc w:val="both"/>
        <w:rPr/>
      </w:pPr>
      <w:r>
        <w:rPr/>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85445"/>
                <wp:effectExtent l="0" t="0" r="0" b="0"/>
                <wp:wrapNone/>
                <wp:docPr id="171" name="Frame1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as provided in Clauses 10, 11, 12 and 16, this Agreement is for the sole benefit of the parties hereto and their respective successors and permitted assign and nothing herein, express or implied, is intended to or shall confer upon any other person or entity any legal or equitable right, benefit or remedy of any nature whatsoever under or by reason of this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expressly stated to the contrary, in this Agreement:</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words denoting the singular include the plural and vice versa, words denoting any one gender include all genders, and references to persons include individuals, partnerships, bodies corporate and unincorporated associations;</w:t>
      </w:r>
    </w:p>
    <w:p>
      <w:pPr>
        <w:pStyle w:val="TextBody"/>
        <w:bidi w:val="0"/>
        <w:spacing w:before="0" w:after="0"/>
        <w:jc w:val="left"/>
        <w:rPr/>
      </w:pPr>
      <w:r>
        <w:rPr/>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 reference to a Recital, Clause, paragraph, or Schedule is a reference to a Recital, Clause or paragraph of, or a Schedule to, this Agreement, a reference to a sub-clause is a reference to a sub-clause of the relevant clause of this Agreement, and a reference to a sub-paragraph is a reference to a sub-paragraph of the relevant paragraph of this Agreement;</w:t>
      </w:r>
    </w:p>
    <w:p>
      <w:pPr>
        <w:pStyle w:val="TextBody"/>
        <w:bidi w:val="0"/>
        <w:spacing w:before="0" w:after="0"/>
        <w:jc w:val="left"/>
        <w:rPr/>
      </w:pPr>
      <w:r>
        <w:rPr/>
      </w:r>
    </w:p>
    <w:p>
      <w:pPr>
        <w:pStyle w:val="TextBody"/>
        <w:bidi w:val="0"/>
        <w:spacing w:lineRule="auto" w:line="288" w:before="0" w:after="200"/>
        <w:ind w:left="0" w:right="0" w:hanging="360"/>
        <w:jc w:val="both"/>
        <w:rPr>
          <w:color w:val="000000"/>
        </w:rPr>
      </w:pPr>
      <w:r>
        <w:rPr>
          <w:color w:val="000000"/>
        </w:rPr>
        <w:t>    </w:t>
      </w:r>
      <w:r>
        <w:rPr>
          <w:rFonts w:ascii="Times New Roman;sans-serif" w:hAnsi="Times New Roman;sans-serif"/>
          <w:b w:val="false"/>
          <w:color w:val="000000"/>
          <w:sz w:val="20"/>
        </w:rPr>
        <w:t>the Schedules form part of this Agreement and shall be construed and have the same full force and effect as if expressly set out in the main body of this Agreement;</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headings in this Agreement are for ease of reference only and shall not in any way affect its construction or interpretation;</w:t>
      </w:r>
    </w:p>
    <w:p>
      <w:pPr>
        <w:pStyle w:val="TextBody"/>
        <w:bidi w:val="0"/>
        <w:spacing w:before="0" w:after="0"/>
        <w:jc w:val="left"/>
        <w:rPr/>
      </w:pPr>
      <w:r>
        <w:rPr/>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any words following the terms “including”, “include”, “in particular”, “for example” or any similar expression shall be construed as illustrative and shall not limit the sense of the words, description, definition, phrase, or term preceding those terms;</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where the context permits, “other” and “otherwise” are illustrative and shall not limit the sense of the words preceding them; and</w:t>
      </w:r>
    </w:p>
    <w:p>
      <w:pPr>
        <w:pStyle w:val="TextBody"/>
        <w:bidi w:val="0"/>
        <w:spacing w:before="0" w:after="0"/>
        <w:jc w:val="both"/>
        <w:rPr/>
      </w:pPr>
      <w:r>
        <w:rPr/>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in writing” or “written” does include email.</w:t>
      </w:r>
    </w:p>
    <w:p>
      <w:pPr>
        <w:pStyle w:val="TextBody"/>
        <w:bidi w:val="0"/>
        <w:spacing w:before="0" w:after="280"/>
        <w:jc w:val="center"/>
        <w:rPr/>
      </w:pPr>
      <w:r>
        <w:rPr/>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85445"/>
                <wp:effectExtent l="0" t="0" r="0" b="0"/>
                <wp:wrapNone/>
                <wp:docPr id="172" name="Frame1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80"/>
        <w:jc w:val="center"/>
        <w:rPr>
          <w:rFonts w:ascii="Times New Roman;sans-serif" w:hAnsi="Times New Roman;sans-serif"/>
          <w:b/>
          <w:color w:val="000000"/>
          <w:sz w:val="20"/>
        </w:rPr>
      </w:pPr>
      <w:r>
        <w:rPr>
          <w:rFonts w:ascii="Times New Roman;sans-serif" w:hAnsi="Times New Roman;sans-serif"/>
          <w:b/>
          <w:color w:val="000000"/>
          <w:sz w:val="20"/>
        </w:rPr>
        <w:t>Schedule 1.2 – Trademarks</w:t>
      </w:r>
    </w:p>
    <w:p>
      <w:pPr>
        <w:pStyle w:val="TextBody"/>
        <w:bidi w:val="0"/>
        <w:spacing w:lineRule="auto" w:line="288" w:before="0" w:after="28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jc w:val="left"/>
        <w:rPr/>
      </w:pPr>
      <w:r>
        <w:rPr/>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85445"/>
                <wp:effectExtent l="0" t="0" r="0" b="0"/>
                <wp:wrapNone/>
                <wp:docPr id="173"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80"/>
        <w:jc w:val="center"/>
        <w:rPr>
          <w:rFonts w:ascii="Times New Roman;sans-serif" w:hAnsi="Times New Roman;sans-serif"/>
          <w:b/>
          <w:color w:val="000000"/>
          <w:sz w:val="20"/>
        </w:rPr>
      </w:pPr>
      <w:r>
        <w:rPr>
          <w:rFonts w:ascii="Times New Roman;sans-serif" w:hAnsi="Times New Roman;sans-serif"/>
          <w:b/>
          <w:color w:val="000000"/>
          <w:sz w:val="20"/>
        </w:rPr>
        <w:t>Schedule 1.3 – Social Media Accounts and Websites</w:t>
      </w:r>
    </w:p>
    <w:p>
      <w:pPr>
        <w:pStyle w:val="TextBody"/>
        <w:bidi w:val="0"/>
        <w:spacing w:lineRule="auto" w:line="288" w:before="0" w:after="28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jc w:val="left"/>
        <w:rPr>
          <w:color w:val="000000"/>
        </w:rPr>
      </w:pPr>
      <w:r>
        <w:rPr>
          <w:color w:val="000000"/>
        </w:rPr>
        <w:t>–––––</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85445"/>
                <wp:effectExtent l="0" t="0" r="0" b="0"/>
                <wp:wrapNone/>
                <wp:docPr id="174"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80"/>
        <w:jc w:val="center"/>
        <w:rPr>
          <w:rFonts w:ascii="Times New Roman;sans-serif" w:hAnsi="Times New Roman;sans-serif"/>
          <w:b/>
          <w:color w:val="000000"/>
          <w:sz w:val="20"/>
        </w:rPr>
      </w:pPr>
      <w:r>
        <w:rPr>
          <w:rFonts w:ascii="Times New Roman;sans-serif" w:hAnsi="Times New Roman;sans-serif"/>
          <w:b/>
          <w:color w:val="000000"/>
          <w:sz w:val="20"/>
        </w:rPr>
        <w:t>Schedule 2</w:t>
        <w:br/>
        <w:t>Brand Guides</w:t>
      </w:r>
    </w:p>
    <w:p>
      <w:pPr>
        <w:pStyle w:val="TextBody"/>
        <w:bidi w:val="0"/>
        <w:spacing w:lineRule="auto" w:line="288" w:before="0" w:after="280"/>
        <w:jc w:val="center"/>
        <w:rPr/>
      </w:pPr>
      <w:r>
        <w:rPr>
          <w:rFonts w:ascii="Times New Roman;sans-serif" w:hAnsi="Times New Roman;sans-serif"/>
          <w:b w:val="false"/>
          <w:color w:val="000000"/>
          <w:sz w:val="20"/>
        </w:rPr>
        <w:t>[***]</w:t>
      </w:r>
      <w:r>
        <w:rPr>
          <w:color w:val="000000"/>
        </w:rPr>
        <w:t xml:space="preserve"> </w:t>
      </w:r>
    </w:p>
    <w:p>
      <w:pPr>
        <w:pStyle w:val="TextBody"/>
        <w:bidi w:val="0"/>
        <w:spacing w:before="120" w:after="120"/>
        <w:jc w:val="both"/>
        <w:rPr/>
      </w:pPr>
      <w:r>
        <w:rPr/>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85445"/>
                <wp:effectExtent l="0" t="0" r="0" b="0"/>
                <wp:wrapNone/>
                <wp:docPr id="175"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80"/>
        <w:jc w:val="center"/>
        <w:rPr>
          <w:rFonts w:ascii="Times New Roman;sans-serif" w:hAnsi="Times New Roman;sans-serif"/>
          <w:b/>
          <w:color w:val="000000"/>
          <w:sz w:val="20"/>
        </w:rPr>
      </w:pPr>
      <w:r>
        <w:rPr>
          <w:rFonts w:ascii="Times New Roman;sans-serif" w:hAnsi="Times New Roman;sans-serif"/>
          <w:b/>
          <w:color w:val="000000"/>
          <w:sz w:val="20"/>
        </w:rPr>
        <w:t>Schedule 4.3</w:t>
        <w:br/>
        <w:t>Existing BuzzFeed Agreements affecting the Territory</w:t>
      </w:r>
    </w:p>
    <w:p>
      <w:pPr>
        <w:pStyle w:val="TextBody"/>
        <w:bidi w:val="0"/>
        <w:spacing w:lineRule="auto" w:line="288" w:before="0" w:after="280"/>
        <w:jc w:val="center"/>
        <w:rPr/>
      </w:pPr>
      <w:r>
        <w:rPr>
          <w:rFonts w:ascii="Times New Roman;sans-serif" w:hAnsi="Times New Roman;sans-serif"/>
          <w:b w:val="false"/>
          <w:color w:val="000000"/>
          <w:sz w:val="20"/>
        </w:rPr>
        <w:t>[***]</w:t>
      </w:r>
      <w:r>
        <w:rPr>
          <w:color w:val="000000"/>
        </w:rPr>
        <w:t xml:space="preserve"> </w:t>
      </w:r>
    </w:p>
    <w:p>
      <w:pPr>
        <w:pStyle w:val="TextBody"/>
        <w:bidi w:val="0"/>
        <w:spacing w:before="0" w:after="0"/>
        <w:jc w:val="left"/>
        <w:rPr/>
      </w:pPr>
      <w:r>
        <w:rPr/>
      </w:r>
    </w:p>
    <w:p>
      <w:pPr>
        <w:pStyle w:val="TextBody"/>
        <w:bidi w:val="0"/>
        <w:jc w:val="left"/>
        <w:rPr/>
      </w:pPr>
      <w:r>
        <w:rPr/>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85445"/>
                <wp:effectExtent l="0" t="0" r="0" b="0"/>
                <wp:wrapNone/>
                <wp:docPr id="176"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80"/>
        <w:jc w:val="center"/>
        <w:rPr/>
      </w:pPr>
      <w:r>
        <w:rPr>
          <w:rFonts w:ascii="Times New Roman;sans-serif" w:hAnsi="Times New Roman;sans-serif"/>
          <w:b/>
          <w:color w:val="000000"/>
          <w:sz w:val="20"/>
        </w:rPr>
        <w:t xml:space="preserve">Schedule 8.1 </w:t>
        <w:br/>
        <w:br/>
      </w:r>
      <w:r>
        <w:rPr>
          <w:rFonts w:ascii="Times New Roman;sans-serif" w:hAnsi="Times New Roman;sans-serif"/>
          <w:b w:val="false"/>
          <w:color w:val="000000"/>
          <w:sz w:val="20"/>
        </w:rPr>
        <w:t>Royalty Report Template - SAMPLE</w:t>
      </w:r>
    </w:p>
    <w:p>
      <w:pPr>
        <w:pStyle w:val="TextBody"/>
        <w:bidi w:val="0"/>
        <w:spacing w:lineRule="auto" w:line="288" w:before="0" w:after="28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280"/>
        <w:jc w:val="center"/>
        <w:rPr/>
      </w:pPr>
      <w:r>
        <w:rPr/>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5445"/>
                <wp:effectExtent l="0" t="0" r="0" b="0"/>
                <wp:wrapNone/>
                <wp:docPr id="177"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80"/>
        <w:jc w:val="center"/>
        <w:rPr/>
      </w:pPr>
      <w:r>
        <w:rPr>
          <w:rFonts w:ascii="Times New Roman;sans-serif" w:hAnsi="Times New Roman;sans-serif"/>
          <w:b/>
          <w:color w:val="000000"/>
          <w:sz w:val="20"/>
        </w:rPr>
        <w:t xml:space="preserve">Schedule 8.2 </w:t>
        <w:br/>
        <w:br/>
      </w:r>
      <w:r>
        <w:rPr>
          <w:rFonts w:ascii="Times New Roman;sans-serif" w:hAnsi="Times New Roman;sans-serif"/>
          <w:b w:val="false"/>
          <w:color w:val="000000"/>
          <w:sz w:val="20"/>
        </w:rPr>
        <w:t>[***] Report Template - SAMPLE</w:t>
      </w:r>
    </w:p>
    <w:p>
      <w:pPr>
        <w:pStyle w:val="TextBody"/>
        <w:bidi w:val="0"/>
        <w:spacing w:lineRule="auto" w:line="288" w:before="0" w:after="28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85445"/>
                <wp:effectExtent l="0" t="0" r="0" b="0"/>
                <wp:wrapNone/>
                <wp:docPr id="178" name="Frame1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80"/>
        <w:jc w:val="center"/>
        <w:rPr>
          <w:rFonts w:ascii="Times New Roman;sans-serif" w:hAnsi="Times New Roman;sans-serif"/>
          <w:b/>
          <w:color w:val="000000"/>
          <w:sz w:val="20"/>
        </w:rPr>
      </w:pPr>
      <w:r>
        <w:rPr>
          <w:rFonts w:ascii="Times New Roman;sans-serif" w:hAnsi="Times New Roman;sans-serif"/>
          <w:b/>
          <w:color w:val="000000"/>
          <w:sz w:val="20"/>
        </w:rPr>
        <w:t>Schedule 8.5. Bank Account and Wire Transfer Information</w:t>
      </w:r>
    </w:p>
    <w:p>
      <w:pPr>
        <w:pStyle w:val="TextBody"/>
        <w:bidi w:val="0"/>
        <w:spacing w:lineRule="auto" w:line="288" w:before="0" w:after="28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jc w:val="left"/>
        <w:rPr/>
      </w:pPr>
      <w:r>
        <w:rPr/>
      </w:r>
    </w:p>
    <w:p>
      <w:pPr>
        <w:pStyle w:val="TextBody"/>
        <w:bidi w:val="0"/>
        <w:spacing w:before="0" w:after="1560"/>
        <w:ind w:left="0" w:right="0" w:hanging="72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85445"/>
                <wp:effectExtent l="0" t="0" r="0" b="0"/>
                <wp:wrapNone/>
                <wp:docPr id="179"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LIST OF OMITTED SCHEDULES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SCHEDULE 1.2 – TRADEMARKS 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SCHEDULE 1.3 – SOCIAL MEDIA ACCOUNTS AND WEBSITES</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SCHEDULE 2 – BRAND GUIDES</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SCHEDULE 4.3 – EXISTING BUZZFEED AGREEMENTS AFFECTING THE TERRITORY</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SCHEDULE 8.1 – ROYALTY REPORT TEMPLATE - SAMPLE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SCHEDULE 8.2 – [***] REPORT TEMPLATE - SAMPLE</w:t>
      </w:r>
    </w:p>
    <w:p>
      <w:pPr>
        <w:pStyle w:val="TextBody"/>
        <w:bidi w:val="0"/>
        <w:spacing w:lineRule="auto" w:line="288"/>
        <w:jc w:val="left"/>
        <w:rPr>
          <w:rFonts w:ascii="Times New Roman;sans-serif" w:hAnsi="Times New Roman;sans-serif"/>
          <w:b w:val="false"/>
          <w:color w:val="000000"/>
          <w:sz w:val="18"/>
        </w:rPr>
      </w:pPr>
      <w:r>
        <w:rPr>
          <w:rFonts w:ascii="Times New Roman;sans-serif" w:hAnsi="Times New Roman;sans-serif"/>
          <w:b w:val="false"/>
          <w:color w:val="000000"/>
          <w:sz w:val="18"/>
        </w:rPr>
        <w:t>SCHEDULE 8.5. – BANK ACCOUNT AND WIRE TRANSFER INFORMATION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19.1.1</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80"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before="0" w:after="0"/>
                        <w:jc w:val="right"/>
                        <w:rPr/>
                      </w:pPr>
                      <w:r>
                        <w:rPr/>
                      </w:r>
                    </w:p>
                  </w:txbxContent>
                </v:textbox>
                <w10:wrap type="none"/>
              </v:rect>
            </w:pict>
          </mc:Fallback>
        </mc:AlternateContent>
      </w:r>
    </w:p>
    <w:p>
      <w:pPr>
        <w:pStyle w:val="TextBody"/>
        <w:bidi w:val="0"/>
        <w:spacing w:before="0" w:after="0"/>
        <w:ind w:left="0" w:right="0" w:hanging="630"/>
        <w:jc w:val="left"/>
        <w:rPr/>
      </w:pPr>
      <w:r>
        <w:rPr/>
      </w:r>
    </w:p>
    <w:p>
      <w:pPr>
        <w:pStyle w:val="TextBody"/>
        <w:bidi w:val="0"/>
        <w:spacing w:lineRule="auto" w:line="240" w:before="200" w:after="240"/>
        <w:jc w:val="center"/>
        <w:rPr>
          <w:rFonts w:ascii="Times New Roman;sans-serif" w:hAnsi="Times New Roman;sans-serif"/>
          <w:b/>
          <w:color w:val="000000"/>
          <w:sz w:val="30"/>
        </w:rPr>
      </w:pPr>
      <w:r>
        <w:rPr>
          <w:rFonts w:ascii="Times New Roman;sans-serif" w:hAnsi="Times New Roman;sans-serif"/>
          <w:b/>
          <w:color w:val="000000"/>
          <w:sz w:val="30"/>
        </w:rPr>
        <w:t>SECURITIES TRADING POLICY</w:t>
      </w:r>
    </w:p>
    <w:tbl>
      <w:tblPr>
        <w:tblW w:w="5079" w:type="dxa"/>
        <w:jc w:val="left"/>
        <w:tblInd w:w="0" w:type="dxa"/>
        <w:tblLayout w:type="fixed"/>
        <w:tblCellMar>
          <w:top w:w="28" w:type="dxa"/>
          <w:left w:w="28" w:type="dxa"/>
          <w:bottom w:w="28" w:type="dxa"/>
          <w:right w:w="28" w:type="dxa"/>
        </w:tblCellMar>
      </w:tblPr>
      <w:tblGrid>
        <w:gridCol w:w="498"/>
        <w:gridCol w:w="438"/>
        <w:gridCol w:w="440"/>
        <w:gridCol w:w="614"/>
        <w:gridCol w:w="614"/>
        <w:gridCol w:w="616"/>
        <w:gridCol w:w="544"/>
        <w:gridCol w:w="544"/>
        <w:gridCol w:w="771"/>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376" w:type="dxa"/>
            <w:gridSpan w:val="3"/>
            <w:vMerge w:val="restart"/>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left"/>
              <w:rPr/>
            </w:pPr>
            <w:r>
              <w:rPr/>
              <w:drawing>
                <wp:inline distT="0" distB="0" distL="0" distR="0">
                  <wp:extent cx="809625" cy="809625"/>
                  <wp:effectExtent l="0" t="0" r="0" b="0"/>
                  <wp:docPr id="18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 descr=""/>
                          <pic:cNvPicPr>
                            <a:picLocks noChangeAspect="1" noChangeArrowheads="1"/>
                          </pic:cNvPicPr>
                        </pic:nvPicPr>
                        <pic:blipFill>
                          <a:blip r:embed="rId78"/>
                          <a:stretch>
                            <a:fillRect/>
                          </a:stretch>
                        </pic:blipFill>
                        <pic:spPr bwMode="auto">
                          <a:xfrm>
                            <a:off x="0" y="0"/>
                            <a:ext cx="809625" cy="809625"/>
                          </a:xfrm>
                          <a:prstGeom prst="rect">
                            <a:avLst/>
                          </a:prstGeom>
                        </pic:spPr>
                      </pic:pic>
                    </a:graphicData>
                  </a:graphic>
                </wp:inline>
              </w:drawing>
            </w:r>
          </w:p>
        </w:tc>
        <w:tc>
          <w:tcPr>
            <w:tcW w:w="18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Policy Owner:</w:t>
            </w:r>
          </w:p>
        </w:tc>
        <w:tc>
          <w:tcPr>
            <w:tcW w:w="18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Legal Department</w:t>
            </w:r>
          </w:p>
        </w:tc>
      </w:tr>
      <w:tr>
        <w:trPr/>
        <w:tc>
          <w:tcPr>
            <w:tcW w:w="1376" w:type="dxa"/>
            <w:gridSpan w:val="3"/>
            <w:vMerge w:val="continue"/>
            <w:tcBorders>
              <w:top w:val="single" w:sz="8" w:space="0" w:color="000000"/>
              <w:left w:val="single" w:sz="8" w:space="0" w:color="000000"/>
              <w:bottom w:val="single" w:sz="8" w:space="0" w:color="000000"/>
            </w:tcBorders>
            <w:tcMar>
              <w:right w:w="0" w:type="dxa"/>
            </w:tcMar>
            <w:vAlign w:val="center"/>
          </w:tcPr>
          <w:p>
            <w:pPr>
              <w:pStyle w:val="Normal"/>
              <w:bidi w:val="0"/>
              <w:jc w:val="left"/>
              <w:rPr/>
            </w:pPr>
            <w:r>
              <w:rPr/>
            </w:r>
          </w:p>
        </w:tc>
        <w:tc>
          <w:tcPr>
            <w:tcW w:w="1844"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Original Release:</w:t>
            </w:r>
          </w:p>
        </w:tc>
        <w:tc>
          <w:tcPr>
            <w:tcW w:w="18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December 2021</w:t>
            </w:r>
          </w:p>
        </w:tc>
      </w:tr>
      <w:tr>
        <w:trPr/>
        <w:tc>
          <w:tcPr>
            <w:tcW w:w="1376" w:type="dxa"/>
            <w:gridSpan w:val="3"/>
            <w:vMerge w:val="continue"/>
            <w:tcBorders>
              <w:top w:val="single" w:sz="8" w:space="0" w:color="000000"/>
              <w:left w:val="single" w:sz="8" w:space="0" w:color="000000"/>
              <w:bottom w:val="single" w:sz="8" w:space="0" w:color="000000"/>
            </w:tcBorders>
            <w:tcMar>
              <w:right w:w="0" w:type="dxa"/>
            </w:tcMar>
            <w:vAlign w:val="center"/>
          </w:tcPr>
          <w:p>
            <w:pPr>
              <w:pStyle w:val="Normal"/>
              <w:bidi w:val="0"/>
              <w:jc w:val="left"/>
              <w:rPr/>
            </w:pPr>
            <w:r>
              <w:rPr/>
            </w:r>
          </w:p>
        </w:tc>
        <w:tc>
          <w:tcPr>
            <w:tcW w:w="18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Last Update:</w:t>
            </w:r>
          </w:p>
        </w:tc>
        <w:tc>
          <w:tcPr>
            <w:tcW w:w="18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April 2023</w:t>
            </w:r>
          </w:p>
        </w:tc>
      </w:tr>
    </w:tbl>
    <w:p>
      <w:pPr>
        <w:pStyle w:val="TextBody"/>
        <w:bidi w:val="0"/>
        <w:spacing w:before="0" w:after="0"/>
        <w:jc w:val="left"/>
        <w:rPr/>
      </w:pPr>
      <w:r>
        <w:rPr/>
      </w:r>
    </w:p>
    <w:p>
      <w:pPr>
        <w:pStyle w:val="TextBody"/>
        <w:bidi w:val="0"/>
        <w:spacing w:lineRule="auto" w:line="319" w:before="200" w:after="283"/>
        <w:jc w:val="both"/>
        <w:rPr/>
      </w:pPr>
      <w:r>
        <w:rPr>
          <w:rFonts w:ascii="Times New Roman;sans-serif" w:hAnsi="Times New Roman;sans-serif"/>
          <w:b w:val="false"/>
          <w:color w:val="000000"/>
          <w:sz w:val="24"/>
        </w:rPr>
        <w:t>BuzzFeed,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is committed to upholding high standards of honest and ethical business conduct and compliance with laws, rules and regulations. This Securities Trading Policy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promotes compliance with insider trading laws and seeks to (i) explain employees’ obligations under the law, (ii) prevent illegal trading, and (iii) protect BuzzFeed’s reputation for integrity and ethical conduct.</w:t>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Transparency is a core element of our Company culture, and our employees are entrusted with a great deal of information about the Company, its operations and performance. We must be mindful about how we treat such information and the optics of employees’ trading activities. Ultimately, we want to maintain shareholder confidence in BuzzFeed and its employees.</w:t>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are responsible for following this Policy and understanding the consequences of failing to do so. Anyone who violates this Policy may be subject to disciplinary measures, which, for employees, may include termination of employment. Neither the Company nor any of its officers will be liable for any act made by anyone other than them in violation of this Policy. Neither the Company nor any of its officers is responsible for any failure to approve a trade or for imposing any Blackout Period. </w:t>
      </w:r>
    </w:p>
    <w:p>
      <w:pPr>
        <w:pStyle w:val="TextBody"/>
        <w:bidi w:val="0"/>
        <w:spacing w:lineRule="auto" w:line="319" w:before="240" w:after="283"/>
        <w:jc w:val="both"/>
        <w:rPr>
          <w:rFonts w:ascii="Times New Roman;sans-serif" w:hAnsi="Times New Roman;sans-serif"/>
          <w:b/>
          <w:color w:val="FF0000"/>
          <w:sz w:val="24"/>
        </w:rPr>
      </w:pPr>
      <w:r>
        <w:rPr>
          <w:rFonts w:ascii="Times New Roman;sans-serif" w:hAnsi="Times New Roman;sans-serif"/>
          <w:b/>
          <w:color w:val="FF0000"/>
          <w:sz w:val="24"/>
        </w:rPr>
        <w:t>INSIDER TRADING AND TIPPING ARE ILLEGAL</w:t>
      </w:r>
    </w:p>
    <w:p>
      <w:pPr>
        <w:pStyle w:val="TextBody"/>
        <w:bidi w:val="0"/>
        <w:spacing w:lineRule="auto" w:line="319" w:before="200" w:after="283"/>
        <w:jc w:val="both"/>
        <w:rPr/>
      </w:pPr>
      <w:r>
        <w:rPr>
          <w:rFonts w:ascii="Times New Roman;sans-serif" w:hAnsi="Times New Roman;sans-serif"/>
          <w:b w:val="false"/>
          <w:color w:val="000000"/>
          <w:sz w:val="24"/>
        </w:rPr>
        <w:t xml:space="preserve">Applicable securities laws make it illegal to buy or sell BuzzFeed’s stock or other </w:t>
      </w:r>
      <w:r>
        <w:rPr>
          <w:rFonts w:ascii="Times New Roman;sans-serif" w:hAnsi="Times New Roman;sans-serif"/>
          <w:b w:val="false"/>
          <w:color w:val="1155CC"/>
          <w:sz w:val="24"/>
          <w:u w:val="single"/>
        </w:rPr>
        <w:t>securities</w:t>
      </w:r>
      <w:r>
        <w:rPr>
          <w:color w:val="000000"/>
        </w:rPr>
        <w:t xml:space="preserve"> </w:t>
      </w:r>
      <w:r>
        <w:rPr>
          <w:rFonts w:ascii="Times New Roman;sans-serif" w:hAnsi="Times New Roman;sans-serif"/>
          <w:b w:val="false"/>
          <w:color w:val="000000"/>
          <w:sz w:val="24"/>
        </w:rPr>
        <w:t>when someone is in possession of material nonpublic information concerning the Company (“</w:t>
      </w:r>
      <w:r>
        <w:rPr>
          <w:rFonts w:ascii="Times New Roman;sans-serif" w:hAnsi="Times New Roman;sans-serif"/>
          <w:b/>
          <w:i/>
          <w:color w:val="000000"/>
          <w:sz w:val="24"/>
        </w:rPr>
        <w:t>MNPI</w:t>
      </w:r>
      <w:r>
        <w:rPr>
          <w:color w:val="000000"/>
        </w:rPr>
        <w:t>”</w:t>
      </w:r>
      <w:r>
        <w:rPr>
          <w:rFonts w:ascii="Times New Roman;sans-serif" w:hAnsi="Times New Roman;sans-serif"/>
          <w:b w:val="false"/>
          <w:color w:val="000000"/>
          <w:sz w:val="24"/>
        </w:rPr>
        <w:t>). This conduct is known as “insider trading.” Disclosing MNPI to someone who may buy or sell securities based on such information is known as “tipping” and this is also illegal.</w:t>
      </w:r>
    </w:p>
    <w:p>
      <w:pPr>
        <w:pStyle w:val="TextBody"/>
        <w:bidi w:val="0"/>
        <w:spacing w:lineRule="auto" w:line="319" w:before="200" w:after="200"/>
        <w:jc w:val="both"/>
        <w:rPr>
          <w:rFonts w:ascii="Times New Roman;sans-serif" w:hAnsi="Times New Roman;sans-serif"/>
          <w:b w:val="false"/>
          <w:color w:val="000000"/>
          <w:sz w:val="24"/>
        </w:rPr>
      </w:pPr>
      <w:r>
        <w:rPr>
          <w:rFonts w:ascii="Times New Roman;sans-serif" w:hAnsi="Times New Roman;sans-serif"/>
          <w:b w:val="false"/>
          <w:color w:val="000000"/>
          <w:sz w:val="24"/>
        </w:rPr>
        <w:t>If you are considering trading our stock or other securities, keep these three key points in mind:</w:t>
      </w:r>
    </w:p>
    <w:p>
      <w:pPr>
        <w:pStyle w:val="TextBody"/>
        <w:bidi w:val="0"/>
        <w:spacing w:lineRule="auto" w:line="319" w:before="0" w:after="0"/>
        <w:ind w:left="0" w:right="0" w:hanging="360"/>
        <w:jc w:val="both"/>
        <w:rPr/>
      </w:pPr>
      <w:r>
        <w:rPr>
          <w:color w:val="FF0000"/>
        </w:rPr>
        <w:t>●</w:t>
      </w:r>
      <w:r>
        <w:rPr>
          <w:rFonts w:ascii="Times New Roman;sans-serif" w:hAnsi="Times New Roman;sans-serif"/>
          <w:b w:val="false"/>
          <w:color w:val="000000"/>
          <w:sz w:val="24"/>
        </w:rPr>
        <w:t>Never buy or sell our securities based on MNPI;</w:t>
      </w:r>
    </w:p>
    <w:p>
      <w:pPr>
        <w:pStyle w:val="TextBody"/>
        <w:bidi w:val="0"/>
        <w:spacing w:lineRule="auto" w:line="319" w:before="60" w:after="283"/>
        <w:ind w:left="0" w:right="0" w:hanging="360"/>
        <w:jc w:val="both"/>
        <w:rPr/>
      </w:pPr>
      <w:r>
        <w:rPr>
          <w:color w:val="FF0000"/>
        </w:rPr>
        <w:t>●</w:t>
      </w:r>
      <w:r>
        <w:rPr>
          <w:rFonts w:ascii="Times New Roman;sans-serif" w:hAnsi="Times New Roman;sans-serif"/>
          <w:b w:val="false"/>
          <w:color w:val="000000"/>
          <w:sz w:val="24"/>
        </w:rPr>
        <w:t>Keep all MNPI confidential, including from your family and friends; and</w:t>
      </w:r>
    </w:p>
    <w:p>
      <w:pPr>
        <w:pStyle w:val="TextBody"/>
        <w:bidi w:val="0"/>
        <w:spacing w:lineRule="auto" w:line="319" w:before="60" w:after="283"/>
        <w:ind w:left="0" w:right="0" w:hanging="360"/>
        <w:jc w:val="both"/>
        <w:rPr/>
      </w:pPr>
      <w:r>
        <w:rPr>
          <w:color w:val="FF0000"/>
        </w:rPr>
        <w:t>●</w:t>
      </w:r>
      <w:r>
        <w:rPr>
          <w:rFonts w:ascii="Times New Roman;sans-serif" w:hAnsi="Times New Roman;sans-serif"/>
          <w:b w:val="false"/>
          <w:color w:val="000000"/>
          <w:sz w:val="24"/>
        </w:rPr>
        <w:t xml:space="preserve">When in doubt about whether you have MNPI, </w:t>
      </w:r>
      <w:r>
        <w:rPr>
          <w:rFonts w:ascii="Times New Roman;sans-serif" w:hAnsi="Times New Roman;sans-serif"/>
          <w:b/>
          <w:color w:val="000000"/>
          <w:sz w:val="24"/>
        </w:rPr>
        <w:t>ask</w:t>
      </w:r>
      <w:r>
        <w:rPr>
          <w:color w:val="000000"/>
        </w:rPr>
        <w:t xml:space="preserve"> </w:t>
      </w:r>
      <w:r>
        <w:rPr>
          <w:rFonts w:ascii="Times New Roman;sans-serif" w:hAnsi="Times New Roman;sans-serif"/>
          <w:b w:val="false"/>
          <w:color w:val="1155CC"/>
          <w:sz w:val="24"/>
          <w:u w:val="single"/>
        </w:rPr>
        <w:t>corporatesecretarysoffice@buzzfeed.com</w:t>
      </w:r>
      <w:r>
        <w:rPr>
          <w:color w:val="000000"/>
        </w:rPr>
        <w:t xml:space="preserve"> </w:t>
      </w:r>
      <w:r>
        <w:rPr>
          <w:rFonts w:ascii="Times New Roman;sans-serif" w:hAnsi="Times New Roman;sans-serif"/>
          <w:b w:val="false"/>
          <w:color w:val="000000"/>
          <w:sz w:val="24"/>
        </w:rPr>
        <w:t>before trading.</w:t>
      </w: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19.1.1</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2"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1</w:t>
                      </w:r>
                    </w:p>
                  </w:txbxContent>
                </v:textbox>
                <w10:wrap type="none"/>
              </v:rect>
            </w:pict>
          </mc:Fallback>
        </mc:AlternateContent>
      </w:r>
    </w:p>
    <w:p>
      <w:pPr>
        <w:pStyle w:val="TextBody"/>
        <w:bidi w:val="0"/>
        <w:spacing w:before="0" w:after="0"/>
        <w:ind w:left="0" w:right="0" w:hanging="630"/>
        <w:jc w:val="left"/>
        <w:rPr/>
      </w:pPr>
      <w:r>
        <w:rPr/>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that end, this Policy sets guidelines for appropriate trading to protect employees and directors and to provide confidence in their trading activities. </w:t>
      </w:r>
    </w:p>
    <w:p>
      <w:pPr>
        <w:pStyle w:val="TextBody"/>
        <w:bidi w:val="0"/>
        <w:spacing w:lineRule="auto" w:line="319" w:before="240" w:after="283"/>
        <w:jc w:val="both"/>
        <w:rPr>
          <w:rFonts w:ascii="Times New Roman;sans-serif" w:hAnsi="Times New Roman;sans-serif"/>
          <w:b/>
          <w:color w:val="FF0000"/>
          <w:sz w:val="24"/>
        </w:rPr>
      </w:pPr>
      <w:r>
        <w:rPr>
          <w:rFonts w:ascii="Times New Roman;sans-serif" w:hAnsi="Times New Roman;sans-serif"/>
          <w:b/>
          <w:color w:val="FF0000"/>
          <w:sz w:val="24"/>
        </w:rPr>
        <w:t>WHO AND WHAT IS COVERED BY THIS POLICY?</w:t>
      </w:r>
    </w:p>
    <w:p>
      <w:pPr>
        <w:pStyle w:val="TextBody"/>
        <w:bidi w:val="0"/>
        <w:spacing w:lineRule="auto" w:line="319" w:before="200" w:after="283"/>
        <w:jc w:val="both"/>
        <w:rPr/>
      </w:pPr>
      <w:r>
        <w:rPr>
          <w:rFonts w:ascii="Times New Roman;sans-serif" w:hAnsi="Times New Roman;sans-serif"/>
          <w:b w:val="false"/>
          <w:color w:val="000000"/>
          <w:sz w:val="24"/>
        </w:rPr>
        <w:t>All directors, officers, employees, consultants, contractors, and freelancers of the Company, as well as their respective immediate family members and others in their households (collectively referred to as “</w:t>
      </w:r>
      <w:r>
        <w:rPr>
          <w:rFonts w:ascii="Times New Roman;sans-serif" w:hAnsi="Times New Roman;sans-serif"/>
          <w:b/>
          <w:i/>
          <w:color w:val="000000"/>
          <w:sz w:val="24"/>
        </w:rPr>
        <w:t>Insiders</w:t>
      </w:r>
      <w:r>
        <w:rPr>
          <w:color w:val="000000"/>
        </w:rPr>
        <w:t>”</w:t>
      </w:r>
      <w:r>
        <w:rPr>
          <w:rFonts w:ascii="Times New Roman;sans-serif" w:hAnsi="Times New Roman;sans-serif"/>
          <w:b w:val="false"/>
          <w:color w:val="000000"/>
          <w:sz w:val="24"/>
        </w:rPr>
        <w:t>) are covered by this Policy. Additionally, entities such as venture capital funds, partnerships, trusts and corporations which are associated or affiliated with our directors, officers, employees, consultants, contractors, and freelancers are Insiders, as well as any other individuals the President, Chief Financial Officer or Chief Legal Officer may designate as such.</w:t>
      </w:r>
    </w:p>
    <w:p>
      <w:pPr>
        <w:pStyle w:val="TextBody"/>
        <w:bidi w:val="0"/>
        <w:spacing w:lineRule="auto" w:line="319" w:before="200" w:after="283"/>
        <w:ind w:left="0" w:right="0" w:hanging="360"/>
        <w:jc w:val="both"/>
        <w:rPr/>
      </w:pPr>
      <w:r>
        <w:rPr>
          <w:rFonts w:ascii="Proxima Nova;sans-serif" w:hAnsi="Proxima Nova;sans-serif"/>
          <w:b w:val="false"/>
          <w:color w:val="000000"/>
          <w:sz w:val="24"/>
        </w:rPr>
        <w:t>A.</w:t>
      </w:r>
      <w:r>
        <w:rPr>
          <w:rFonts w:ascii="Times New Roman;sans-serif" w:hAnsi="Times New Roman;sans-serif"/>
          <w:b w:val="false"/>
          <w:color w:val="000000"/>
          <w:sz w:val="24"/>
        </w:rPr>
        <w:t>An “</w:t>
      </w:r>
      <w:r>
        <w:rPr>
          <w:rFonts w:ascii="Times New Roman;sans-serif" w:hAnsi="Times New Roman;sans-serif"/>
          <w:b/>
          <w:i/>
          <w:color w:val="000000"/>
          <w:sz w:val="24"/>
        </w:rPr>
        <w:t>immediate family member</w:t>
      </w:r>
      <w:r>
        <w:rPr>
          <w:color w:val="000000"/>
        </w:rPr>
        <w:t xml:space="preserve">” </w:t>
      </w:r>
      <w:r>
        <w:rPr>
          <w:rFonts w:ascii="Times New Roman;sans-serif" w:hAnsi="Times New Roman;sans-serif"/>
          <w:b w:val="false"/>
          <w:color w:val="000000"/>
          <w:sz w:val="24"/>
        </w:rPr>
        <w:t xml:space="preserve">under this Policy means any child, stepchild, parent, stepparent, spouse, domestic partner, sibling, mother-in-law, father-in-law, son-in-law, daughter-in-law, brother-in-law, or sister-in-law of a person security holder, and includes any person (other than a tenant or employee) sharing the household of that person. </w:t>
      </w:r>
    </w:p>
    <w:p>
      <w:pPr>
        <w:pStyle w:val="TextBody"/>
        <w:bidi w:val="0"/>
        <w:spacing w:lineRule="auto" w:line="319" w:before="200" w:after="283"/>
        <w:ind w:left="0" w:right="0" w:hanging="360"/>
        <w:jc w:val="both"/>
        <w:rPr/>
      </w:pPr>
      <w:r>
        <w:rPr>
          <w:rFonts w:ascii="Proxima Nova;sans-serif" w:hAnsi="Proxima Nova;sans-serif"/>
          <w:b w:val="false"/>
          <w:color w:val="000000"/>
          <w:sz w:val="24"/>
        </w:rPr>
        <w:t>B.</w:t>
      </w:r>
      <w:r>
        <w:rPr>
          <w:rFonts w:ascii="Times New Roman;sans-serif" w:hAnsi="Times New Roman;sans-serif"/>
          <w:b/>
          <w:i/>
          <w:color w:val="000000"/>
          <w:sz w:val="24"/>
        </w:rPr>
        <w:t>Designated Insiders</w:t>
      </w:r>
      <w:r>
        <w:rPr>
          <w:rFonts w:ascii="Times New Roman;sans-serif" w:hAnsi="Times New Roman;sans-serif"/>
          <w:b w:val="false"/>
          <w:color w:val="000000"/>
          <w:sz w:val="24"/>
        </w:rPr>
        <w:t xml:space="preserve">, Section 16 Officers and Directors will be subject to further restrictions under this Policy. </w:t>
      </w:r>
    </w:p>
    <w:p>
      <w:pPr>
        <w:pStyle w:val="TextBody"/>
        <w:bidi w:val="0"/>
        <w:spacing w:lineRule="auto" w:line="319" w:before="200" w:after="283"/>
        <w:ind w:left="0" w:right="0" w:hanging="360"/>
        <w:jc w:val="both"/>
        <w:rPr/>
      </w:pPr>
      <w:r>
        <w:rPr>
          <w:rFonts w:ascii="Times New Roman;sans-serif" w:hAnsi="Times New Roman;sans-serif"/>
          <w:b w:val="false"/>
          <w:color w:val="000000"/>
          <w:sz w:val="24"/>
        </w:rPr>
        <w:t>a.</w:t>
      </w:r>
      <w:r>
        <w:rPr>
          <w:rFonts w:ascii="Times New Roman;sans-serif" w:hAnsi="Times New Roman;sans-serif"/>
          <w:b/>
          <w:i/>
          <w:color w:val="000000"/>
          <w:sz w:val="24"/>
        </w:rPr>
        <w:t>Designated Insiders</w:t>
      </w:r>
      <w:r>
        <w:rPr>
          <w:color w:val="000000"/>
        </w:rPr>
        <w:t xml:space="preserve"> </w:t>
      </w:r>
      <w:r>
        <w:rPr>
          <w:rFonts w:ascii="Times New Roman;sans-serif" w:hAnsi="Times New Roman;sans-serif"/>
          <w:b w:val="false"/>
          <w:color w:val="000000"/>
          <w:sz w:val="24"/>
        </w:rPr>
        <w:t>are employees, consultants, contractors, and freelancers of the Company who routinely become aware of and/or have access to MNPI, as determined by our President, Chief Financial Officer or Chief Legal Officer. The list of Designated Insiders is maintained, and may be updated from time to time and at any time, by our Chief Legal Officer.</w:t>
      </w:r>
    </w:p>
    <w:p>
      <w:pPr>
        <w:pStyle w:val="TextBody"/>
        <w:bidi w:val="0"/>
        <w:spacing w:lineRule="auto" w:line="319" w:before="200" w:after="283"/>
        <w:ind w:left="0" w:right="0" w:hanging="360"/>
        <w:jc w:val="both"/>
        <w:rPr/>
      </w:pPr>
      <w:r>
        <w:rPr>
          <w:rFonts w:ascii="Times New Roman;sans-serif" w:hAnsi="Times New Roman;sans-serif"/>
          <w:b w:val="false"/>
          <w:color w:val="000000"/>
          <w:sz w:val="24"/>
        </w:rPr>
        <w:t>b.</w:t>
      </w:r>
      <w:r>
        <w:rPr>
          <w:rFonts w:ascii="Times New Roman;sans-serif" w:hAnsi="Times New Roman;sans-serif"/>
          <w:b/>
          <w:i/>
          <w:color w:val="000000"/>
          <w:sz w:val="24"/>
        </w:rPr>
        <w:t>Section 16 Officers</w:t>
      </w:r>
      <w:r>
        <w:rPr>
          <w:color w:val="000000"/>
        </w:rPr>
        <w:t xml:space="preserve"> </w:t>
      </w:r>
      <w:r>
        <w:rPr>
          <w:rFonts w:ascii="Times New Roman;sans-serif" w:hAnsi="Times New Roman;sans-serif"/>
          <w:b w:val="false"/>
          <w:color w:val="000000"/>
          <w:sz w:val="24"/>
        </w:rPr>
        <w:t>are “officers” within the meaning of Rule 16a-1(f) under the Securities Exchange Act of 1934.</w:t>
      </w:r>
    </w:p>
    <w:p>
      <w:pPr>
        <w:pStyle w:val="TextBody"/>
        <w:bidi w:val="0"/>
        <w:spacing w:lineRule="auto" w:line="319" w:before="200" w:after="283"/>
        <w:ind w:left="0" w:right="0" w:hanging="360"/>
        <w:jc w:val="both"/>
        <w:rPr/>
      </w:pPr>
      <w:r>
        <w:rPr>
          <w:rFonts w:ascii="Times New Roman;sans-serif" w:hAnsi="Times New Roman;sans-serif"/>
          <w:b w:val="false"/>
          <w:color w:val="000000"/>
          <w:sz w:val="24"/>
        </w:rPr>
        <w:t>c.</w:t>
      </w:r>
      <w:r>
        <w:rPr>
          <w:rFonts w:ascii="Times New Roman;sans-serif" w:hAnsi="Times New Roman;sans-serif"/>
          <w:b/>
          <w:i/>
          <w:color w:val="000000"/>
          <w:sz w:val="24"/>
        </w:rPr>
        <w:t>Directors</w:t>
      </w:r>
      <w:r>
        <w:rPr>
          <w:color w:val="000000"/>
        </w:rPr>
        <w:t xml:space="preserve"> </w:t>
      </w:r>
      <w:r>
        <w:rPr>
          <w:rFonts w:ascii="Times New Roman;sans-serif" w:hAnsi="Times New Roman;sans-serif"/>
          <w:b w:val="false"/>
          <w:color w:val="000000"/>
          <w:sz w:val="24"/>
        </w:rPr>
        <w:t>are members of the Board of Directors of BuzzFeed, Inc.</w:t>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You will be notified if you are considered a Designated Insider, Section 16 Officer or Director.</w:t>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Except as set forth explicitly below, this Policy applies to any and all transactions in BuzzFeed, Inc. securities, including transactions in common stock, options, preferred stock, restricted stock, restricted stock units, warrants, notes, and any other type of securities that the Company may issue. This Policy applies to such securities regardless of whether they are held in a brokerage account, a 401(k) or similar account, or otherwise. This Policy also applies to all transactions involving the securities of other companies if you possess material, nonpublic information about that Company through the course of your involvement with BuzzFeed.</w:t>
      </w: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19.1.1</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83"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2</w:t>
                      </w:r>
                    </w:p>
                  </w:txbxContent>
                </v:textbox>
                <w10:wrap type="none"/>
              </v:rect>
            </w:pict>
          </mc:Fallback>
        </mc:AlternateContent>
      </w:r>
    </w:p>
    <w:p>
      <w:pPr>
        <w:pStyle w:val="TextBody"/>
        <w:bidi w:val="0"/>
        <w:spacing w:before="0" w:after="0"/>
        <w:ind w:left="0" w:right="0" w:hanging="630"/>
        <w:jc w:val="left"/>
        <w:rPr/>
      </w:pPr>
      <w:r>
        <w:rPr/>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If you are aware of MNPI when your employment or service relationship with the Company ends, you still may not trade in our securities until that MNPI has become public or is no longer material.</w:t>
      </w:r>
    </w:p>
    <w:p>
      <w:pPr>
        <w:pStyle w:val="TextBody"/>
        <w:bidi w:val="0"/>
        <w:spacing w:lineRule="auto" w:line="319" w:before="240" w:after="283"/>
        <w:jc w:val="both"/>
        <w:rPr>
          <w:rFonts w:ascii="Times New Roman;sans-serif" w:hAnsi="Times New Roman;sans-serif"/>
          <w:b/>
          <w:color w:val="FF0000"/>
          <w:sz w:val="24"/>
        </w:rPr>
      </w:pPr>
      <w:r>
        <w:rPr>
          <w:rFonts w:ascii="Times New Roman;sans-serif" w:hAnsi="Times New Roman;sans-serif"/>
          <w:b/>
          <w:color w:val="FF0000"/>
          <w:sz w:val="24"/>
        </w:rPr>
        <w:t>WHEN CAN I TRADE?</w:t>
      </w:r>
    </w:p>
    <w:p>
      <w:pPr>
        <w:pStyle w:val="TextBody"/>
        <w:bidi w:val="0"/>
        <w:spacing w:lineRule="auto" w:line="319" w:before="200" w:after="283"/>
        <w:ind w:left="0" w:right="0" w:hanging="720"/>
        <w:jc w:val="both"/>
        <w:rPr/>
      </w:pPr>
      <w:r>
        <w:rPr>
          <w:rFonts w:ascii="Proxima Nova;sans-serif" w:hAnsi="Proxima Nova;sans-serif"/>
          <w:b w:val="false"/>
          <w:color w:val="000000"/>
          <w:sz w:val="24"/>
        </w:rPr>
        <w:t>A.</w:t>
      </w:r>
      <w:r>
        <w:rPr>
          <w:rFonts w:ascii="Times New Roman;sans-serif" w:hAnsi="Times New Roman;sans-serif"/>
          <w:b/>
          <w:i/>
          <w:color w:val="000000"/>
          <w:sz w:val="24"/>
        </w:rPr>
        <w:t>Insiders</w:t>
      </w:r>
      <w:r>
        <w:rPr>
          <w:color w:val="000000"/>
        </w:rPr>
        <w:t xml:space="preserve"> </w:t>
      </w:r>
      <w:r>
        <w:rPr>
          <w:rFonts w:ascii="Times New Roman;sans-serif" w:hAnsi="Times New Roman;sans-serif"/>
          <w:b w:val="false"/>
          <w:color w:val="000000"/>
          <w:sz w:val="24"/>
        </w:rPr>
        <w:t xml:space="preserve">can trade during a current and open </w:t>
      </w:r>
      <w:r>
        <w:rPr>
          <w:rFonts w:ascii="Times New Roman;sans-serif" w:hAnsi="Times New Roman;sans-serif"/>
          <w:b w:val="false"/>
          <w:color w:val="1155CC"/>
          <w:sz w:val="24"/>
          <w:u w:val="single"/>
        </w:rPr>
        <w:t>Trading Window</w:t>
      </w:r>
      <w:r>
        <w:rPr>
          <w:color w:val="000000"/>
        </w:rPr>
        <w:t xml:space="preserve"> </w:t>
      </w:r>
      <w:r>
        <w:rPr>
          <w:rFonts w:ascii="Times New Roman;sans-serif" w:hAnsi="Times New Roman;sans-serif"/>
          <w:b w:val="false"/>
          <w:color w:val="000000"/>
          <w:sz w:val="24"/>
        </w:rPr>
        <w:t xml:space="preserve">if they are (a) not in possession of MNPI, (b) not subject to a </w:t>
      </w:r>
      <w:r>
        <w:rPr>
          <w:rFonts w:ascii="Times New Roman;sans-serif" w:hAnsi="Times New Roman;sans-serif"/>
          <w:b w:val="false"/>
          <w:color w:val="1155CC"/>
          <w:sz w:val="24"/>
          <w:u w:val="single"/>
        </w:rPr>
        <w:t>Blackout Period</w:t>
      </w:r>
      <w:r>
        <w:rPr>
          <w:rFonts w:ascii="Times New Roman;sans-serif" w:hAnsi="Times New Roman;sans-serif"/>
          <w:b w:val="false"/>
          <w:color w:val="000000"/>
          <w:sz w:val="24"/>
        </w:rPr>
        <w:t xml:space="preserve">, and (c) not identified as a Designated Insider, a Section 16 Officer or a Director. Insiders can also trade through the establishment of a </w:t>
      </w:r>
      <w:r>
        <w:rPr>
          <w:rFonts w:ascii="Times New Roman;sans-serif" w:hAnsi="Times New Roman;sans-serif"/>
          <w:b w:val="false"/>
          <w:color w:val="1155CC"/>
          <w:sz w:val="24"/>
          <w:u w:val="single"/>
        </w:rPr>
        <w:t>10b5-1 plan</w:t>
      </w:r>
      <w:r>
        <w:rPr>
          <w:rFonts w:ascii="Times New Roman;sans-serif" w:hAnsi="Times New Roman;sans-serif"/>
          <w:b w:val="false"/>
          <w:color w:val="000000"/>
          <w:sz w:val="24"/>
        </w:rPr>
        <w:t>.</w:t>
      </w:r>
    </w:p>
    <w:p>
      <w:pPr>
        <w:pStyle w:val="TextBody"/>
        <w:bidi w:val="0"/>
        <w:spacing w:lineRule="auto" w:line="319" w:before="200" w:after="283"/>
        <w:ind w:left="0" w:right="0" w:hanging="720"/>
        <w:jc w:val="both"/>
        <w:rPr/>
      </w:pPr>
      <w:r>
        <w:rPr>
          <w:rFonts w:ascii="Proxima Nova;sans-serif" w:hAnsi="Proxima Nova;sans-serif"/>
          <w:b w:val="false"/>
          <w:color w:val="000000"/>
          <w:sz w:val="24"/>
        </w:rPr>
        <w:t>B.</w:t>
      </w:r>
      <w:r>
        <w:rPr>
          <w:rFonts w:ascii="Times New Roman;sans-serif" w:hAnsi="Times New Roman;sans-serif"/>
          <w:b/>
          <w:i/>
          <w:color w:val="000000"/>
          <w:sz w:val="24"/>
        </w:rPr>
        <w:t>Designated</w:t>
      </w:r>
      <w:r>
        <w:rPr>
          <w:color w:val="000000"/>
        </w:rPr>
        <w:t xml:space="preserve"> </w:t>
      </w:r>
      <w:r>
        <w:rPr>
          <w:rFonts w:ascii="Times New Roman;sans-serif" w:hAnsi="Times New Roman;sans-serif"/>
          <w:b/>
          <w:i/>
          <w:color w:val="000000"/>
          <w:sz w:val="24"/>
        </w:rPr>
        <w:t>Insiders</w:t>
      </w:r>
      <w:r>
        <w:rPr>
          <w:color w:val="000000"/>
        </w:rPr>
        <w:t xml:space="preserve"> </w:t>
      </w:r>
      <w:r>
        <w:rPr>
          <w:rFonts w:ascii="Times New Roman;sans-serif" w:hAnsi="Times New Roman;sans-serif"/>
          <w:b w:val="false"/>
          <w:color w:val="000000"/>
          <w:sz w:val="24"/>
        </w:rPr>
        <w:t xml:space="preserve">can trade during a current and open </w:t>
      </w:r>
      <w:r>
        <w:rPr>
          <w:rFonts w:ascii="Times New Roman;sans-serif" w:hAnsi="Times New Roman;sans-serif"/>
          <w:b w:val="false"/>
          <w:color w:val="1155CC"/>
          <w:sz w:val="24"/>
          <w:u w:val="single"/>
        </w:rPr>
        <w:t>Trading Window</w:t>
      </w:r>
      <w:r>
        <w:rPr>
          <w:color w:val="000000"/>
        </w:rPr>
        <w:t xml:space="preserve"> </w:t>
      </w:r>
      <w:r>
        <w:rPr>
          <w:rFonts w:ascii="Times New Roman;sans-serif" w:hAnsi="Times New Roman;sans-serif"/>
          <w:b w:val="false"/>
          <w:color w:val="000000"/>
          <w:sz w:val="24"/>
        </w:rPr>
        <w:t xml:space="preserve">if they are (a) not in possession of MNPI, (b) not subject to a </w:t>
      </w:r>
      <w:r>
        <w:rPr>
          <w:rFonts w:ascii="Times New Roman;sans-serif" w:hAnsi="Times New Roman;sans-serif"/>
          <w:b w:val="false"/>
          <w:color w:val="1155CC"/>
          <w:sz w:val="24"/>
          <w:u w:val="single"/>
        </w:rPr>
        <w:t>Blackout Period</w:t>
      </w:r>
      <w:r>
        <w:rPr>
          <w:rFonts w:ascii="Times New Roman;sans-serif" w:hAnsi="Times New Roman;sans-serif"/>
          <w:b w:val="false"/>
          <w:color w:val="000000"/>
          <w:sz w:val="24"/>
        </w:rPr>
        <w:t>, and (c) have obtained preclearance (</w:t>
      </w:r>
      <w:r>
        <w:rPr>
          <w:rFonts w:ascii="Times New Roman;sans-serif" w:hAnsi="Times New Roman;sans-serif"/>
          <w:b w:val="false"/>
          <w:color w:val="1155CC"/>
          <w:sz w:val="24"/>
          <w:u w:val="single"/>
        </w:rPr>
        <w:t>using this form</w:t>
      </w:r>
      <w:r>
        <w:rPr>
          <w:rFonts w:ascii="Times New Roman;sans-serif" w:hAnsi="Times New Roman;sans-serif"/>
          <w:b w:val="false"/>
          <w:color w:val="000000"/>
          <w:sz w:val="24"/>
        </w:rPr>
        <w:t xml:space="preserve">). Designated Insiders can also trade through the establishment of a </w:t>
      </w:r>
      <w:r>
        <w:rPr>
          <w:rFonts w:ascii="Times New Roman;sans-serif" w:hAnsi="Times New Roman;sans-serif"/>
          <w:b w:val="false"/>
          <w:color w:val="1155CC"/>
          <w:sz w:val="24"/>
          <w:u w:val="single"/>
        </w:rPr>
        <w:t>10b5-1 plan</w:t>
      </w:r>
      <w:r>
        <w:rPr>
          <w:rFonts w:ascii="Times New Roman;sans-serif" w:hAnsi="Times New Roman;sans-serif"/>
          <w:b w:val="false"/>
          <w:color w:val="000000"/>
          <w:sz w:val="24"/>
        </w:rPr>
        <w:t>. You will be notified if you are a Designated Insider.</w:t>
      </w:r>
    </w:p>
    <w:p>
      <w:pPr>
        <w:pStyle w:val="TextBody"/>
        <w:bidi w:val="0"/>
        <w:spacing w:lineRule="auto" w:line="319" w:before="200" w:after="283"/>
        <w:ind w:left="0" w:right="0" w:hanging="720"/>
        <w:jc w:val="both"/>
        <w:rPr/>
      </w:pPr>
      <w:r>
        <w:rPr>
          <w:rFonts w:ascii="Proxima Nova;sans-serif" w:hAnsi="Proxima Nova;sans-serif"/>
          <w:b w:val="false"/>
          <w:color w:val="000000"/>
          <w:sz w:val="24"/>
        </w:rPr>
        <w:t>C.</w:t>
      </w:r>
      <w:r>
        <w:rPr>
          <w:rFonts w:ascii="Times New Roman;sans-serif" w:hAnsi="Times New Roman;sans-serif"/>
          <w:b/>
          <w:i/>
          <w:color w:val="000000"/>
          <w:sz w:val="24"/>
        </w:rPr>
        <w:t>Section 16 Officers</w:t>
      </w:r>
      <w:r>
        <w:rPr>
          <w:color w:val="000000"/>
        </w:rPr>
        <w:t xml:space="preserve"> </w:t>
      </w:r>
      <w:r>
        <w:rPr>
          <w:rFonts w:ascii="Times New Roman;sans-serif" w:hAnsi="Times New Roman;sans-serif"/>
          <w:b w:val="false"/>
          <w:color w:val="000000"/>
          <w:sz w:val="24"/>
        </w:rPr>
        <w:t xml:space="preserve">can only trade through the establishment of a </w:t>
      </w:r>
      <w:r>
        <w:rPr>
          <w:rFonts w:ascii="Times New Roman;sans-serif" w:hAnsi="Times New Roman;sans-serif"/>
          <w:b w:val="false"/>
          <w:color w:val="1155CC"/>
          <w:sz w:val="24"/>
          <w:u w:val="single"/>
        </w:rPr>
        <w:t>10b5-1 plan</w:t>
      </w:r>
      <w:r>
        <w:rPr>
          <w:rFonts w:ascii="Times New Roman;sans-serif" w:hAnsi="Times New Roman;sans-serif"/>
          <w:b w:val="false"/>
          <w:color w:val="000000"/>
          <w:sz w:val="24"/>
        </w:rPr>
        <w:t>. You will be notified if you are a Section 16 Officer.</w:t>
      </w:r>
    </w:p>
    <w:p>
      <w:pPr>
        <w:pStyle w:val="TextBody"/>
        <w:bidi w:val="0"/>
        <w:spacing w:lineRule="auto" w:line="319" w:before="200" w:after="283"/>
        <w:ind w:left="0" w:right="0" w:hanging="720"/>
        <w:jc w:val="both"/>
        <w:rPr/>
      </w:pPr>
      <w:r>
        <w:rPr>
          <w:rFonts w:ascii="Proxima Nova;sans-serif" w:hAnsi="Proxima Nova;sans-serif"/>
          <w:b w:val="false"/>
          <w:color w:val="000000"/>
          <w:sz w:val="24"/>
        </w:rPr>
        <w:t>D.</w:t>
      </w:r>
      <w:r>
        <w:rPr>
          <w:rFonts w:ascii="Times New Roman;sans-serif" w:hAnsi="Times New Roman;sans-serif"/>
          <w:b/>
          <w:i/>
          <w:color w:val="000000"/>
          <w:sz w:val="24"/>
        </w:rPr>
        <w:t>Directors</w:t>
      </w:r>
      <w:r>
        <w:rPr>
          <w:color w:val="000000"/>
        </w:rPr>
        <w:t xml:space="preserve"> </w:t>
      </w:r>
      <w:r>
        <w:rPr>
          <w:rFonts w:ascii="Times New Roman;sans-serif" w:hAnsi="Times New Roman;sans-serif"/>
          <w:b w:val="false"/>
          <w:color w:val="000000"/>
          <w:sz w:val="24"/>
        </w:rPr>
        <w:t xml:space="preserve">can trade during a current and open </w:t>
      </w:r>
      <w:r>
        <w:rPr>
          <w:rFonts w:ascii="Times New Roman;sans-serif" w:hAnsi="Times New Roman;sans-serif"/>
          <w:b w:val="false"/>
          <w:color w:val="1155CC"/>
          <w:sz w:val="24"/>
          <w:u w:val="single"/>
        </w:rPr>
        <w:t>Trading Window</w:t>
      </w:r>
      <w:r>
        <w:rPr>
          <w:color w:val="000000"/>
        </w:rPr>
        <w:t xml:space="preserve"> </w:t>
      </w:r>
      <w:r>
        <w:rPr>
          <w:rFonts w:ascii="Times New Roman;sans-serif" w:hAnsi="Times New Roman;sans-serif"/>
          <w:b w:val="false"/>
          <w:color w:val="000000"/>
          <w:sz w:val="24"/>
        </w:rPr>
        <w:t xml:space="preserve">if they are (a) not in possession of MNPI, (b) not subject to a </w:t>
      </w:r>
      <w:r>
        <w:rPr>
          <w:rFonts w:ascii="Times New Roman;sans-serif" w:hAnsi="Times New Roman;sans-serif"/>
          <w:b w:val="false"/>
          <w:color w:val="1155CC"/>
          <w:sz w:val="24"/>
          <w:u w:val="single"/>
        </w:rPr>
        <w:t>Blackout Period</w:t>
      </w:r>
      <w:r>
        <w:rPr>
          <w:rFonts w:ascii="Times New Roman;sans-serif" w:hAnsi="Times New Roman;sans-serif"/>
          <w:b w:val="false"/>
          <w:color w:val="000000"/>
          <w:sz w:val="24"/>
        </w:rPr>
        <w:t>, and (c) have obtained preclearance (</w:t>
      </w:r>
      <w:r>
        <w:rPr>
          <w:rFonts w:ascii="Times New Roman;sans-serif" w:hAnsi="Times New Roman;sans-serif"/>
          <w:b w:val="false"/>
          <w:color w:val="1155CC"/>
          <w:sz w:val="24"/>
          <w:u w:val="single"/>
        </w:rPr>
        <w:t>using this form</w:t>
      </w:r>
      <w:r>
        <w:rPr>
          <w:rFonts w:ascii="Times New Roman;sans-serif" w:hAnsi="Times New Roman;sans-serif"/>
          <w:b w:val="false"/>
          <w:color w:val="000000"/>
          <w:sz w:val="24"/>
        </w:rPr>
        <w:t xml:space="preserve">). Directors can also trade through the establishment of a </w:t>
      </w:r>
      <w:r>
        <w:rPr>
          <w:rFonts w:ascii="Times New Roman;sans-serif" w:hAnsi="Times New Roman;sans-serif"/>
          <w:b w:val="false"/>
          <w:color w:val="1155CC"/>
          <w:sz w:val="24"/>
          <w:u w:val="single"/>
        </w:rPr>
        <w:t>10b5-1 plan</w:t>
      </w:r>
      <w:r>
        <w:rPr>
          <w:rFonts w:ascii="Times New Roman;sans-serif" w:hAnsi="Times New Roman;sans-serif"/>
          <w:b w:val="false"/>
          <w:color w:val="000000"/>
          <w:sz w:val="24"/>
        </w:rPr>
        <w:t>. You will be notified if you are a Director.</w:t>
      </w:r>
    </w:p>
    <w:p>
      <w:pPr>
        <w:pStyle w:val="TextBody"/>
        <w:bidi w:val="0"/>
        <w:spacing w:lineRule="auto" w:line="319" w:before="240" w:after="283"/>
        <w:jc w:val="both"/>
        <w:rPr>
          <w:rFonts w:ascii="Times New Roman;sans-serif" w:hAnsi="Times New Roman;sans-serif"/>
          <w:b/>
          <w:color w:val="FF0000"/>
          <w:sz w:val="24"/>
        </w:rPr>
      </w:pPr>
      <w:r>
        <w:rPr>
          <w:rFonts w:ascii="Times New Roman;sans-serif" w:hAnsi="Times New Roman;sans-serif"/>
          <w:b/>
          <w:color w:val="FF0000"/>
          <w:sz w:val="24"/>
        </w:rPr>
        <w:t>OTHER WORDS AND PHRASES TO KNOW</w:t>
      </w:r>
    </w:p>
    <w:p>
      <w:pPr>
        <w:pStyle w:val="TextBody"/>
        <w:bidi w:val="0"/>
        <w:spacing w:lineRule="auto" w:line="319" w:before="200" w:after="283"/>
        <w:jc w:val="both"/>
        <w:rPr/>
      </w:pPr>
      <w:r>
        <w:rPr>
          <w:color w:val="000000"/>
        </w:rPr>
        <w:t>“</w:t>
      </w:r>
      <w:r>
        <w:rPr>
          <w:rFonts w:ascii="Times New Roman;sans-serif" w:hAnsi="Times New Roman;sans-serif"/>
          <w:b/>
          <w:i/>
          <w:color w:val="000000"/>
          <w:sz w:val="24"/>
        </w:rPr>
        <w:t>Material information</w:t>
      </w:r>
      <w:r>
        <w:rPr>
          <w:color w:val="000000"/>
        </w:rPr>
        <w:t xml:space="preserve">” </w:t>
      </w:r>
      <w:r>
        <w:rPr>
          <w:rFonts w:ascii="Times New Roman;sans-serif" w:hAnsi="Times New Roman;sans-serif"/>
          <w:b w:val="false"/>
          <w:color w:val="000000"/>
          <w:sz w:val="24"/>
        </w:rPr>
        <w:t>is information about our Company, positive or negative, that a reasonable person would consider important in making a decision to purchase or sell the Company’s securities. Material information can be positive or negative and can relate to virtually any aspect of the Company’s business.</w:t>
      </w:r>
    </w:p>
    <w:p>
      <w:pPr>
        <w:pStyle w:val="TextBody"/>
        <w:bidi w:val="0"/>
        <w:spacing w:lineRule="auto" w:line="319" w:before="200" w:after="200"/>
        <w:jc w:val="both"/>
        <w:rPr>
          <w:rFonts w:ascii="Times New Roman;sans-serif" w:hAnsi="Times New Roman;sans-serif"/>
          <w:b w:val="false"/>
          <w:color w:val="000000"/>
          <w:sz w:val="24"/>
        </w:rPr>
      </w:pPr>
      <w:r>
        <w:rPr>
          <w:rFonts w:ascii="Times New Roman;sans-serif" w:hAnsi="Times New Roman;sans-serif"/>
          <w:b w:val="false"/>
          <w:color w:val="000000"/>
          <w:sz w:val="24"/>
        </w:rPr>
        <w:t>Examples of material information are listed here; this is not intended to be a complete list. Determination of what may constitute material information will depend upon the facts and circumstances in each particular situation:</w:t>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 xml:space="preserve">historical or forecasted revenues, earnings or other financial results, or any business factors that contribute to them; </w:t>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historical or forecasted statistics related to audience engagement, traffic or content consumption on any of the Company’s platforms (websites, apps, newsletters, etc.);</w:t>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significant new products or services or other commercial developments;</w:t>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 xml:space="preserve">significant new contracts or partners or the loss of a significant contract or partner; </w:t>
      </w: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19.1.1</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84"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3</w:t>
                      </w:r>
                    </w:p>
                  </w:txbxContent>
                </v:textbox>
                <w10:wrap type="none"/>
              </v:rect>
            </w:pict>
          </mc:Fallback>
        </mc:AlternateContent>
      </w:r>
    </w:p>
    <w:p>
      <w:pPr>
        <w:pStyle w:val="TextBody"/>
        <w:bidi w:val="0"/>
        <w:spacing w:before="0" w:after="0"/>
        <w:ind w:left="0" w:right="0" w:hanging="630"/>
        <w:jc w:val="left"/>
        <w:rPr/>
      </w:pPr>
      <w:r>
        <w:rPr/>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significant developments regarding the Company’s technology or business operations;</w:t>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 xml:space="preserve">possible mergers or acquisitions or dispositions of significant subsidiaries or assets; </w:t>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 xml:space="preserve">major new litigation or regulatory inquiries or developments in existing litigation or inquiries; </w:t>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significant cybersecurity incidents or data breaches;</w:t>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 xml:space="preserve">significant developments in borrowings, or financings or capital investments; </w:t>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 xml:space="preserve">significant changes in financial condition or asset value or liquidity issues; </w:t>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 xml:space="preserve">changes in our Board or senior management; </w:t>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 xml:space="preserve">significant changes in corporate strategy; </w:t>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 xml:space="preserve">changes in accounting methods and write-offs; and </w:t>
      </w:r>
    </w:p>
    <w:p>
      <w:pPr>
        <w:pStyle w:val="TextBody"/>
        <w:bidi w:val="0"/>
        <w:spacing w:lineRule="auto" w:line="319" w:before="0" w:after="40"/>
        <w:ind w:left="0" w:right="0" w:hanging="720"/>
        <w:jc w:val="both"/>
        <w:rPr/>
      </w:pPr>
      <w:r>
        <w:rPr>
          <w:color w:val="000000"/>
        </w:rPr>
        <w:t>●</w:t>
      </w:r>
      <w:r>
        <w:rPr>
          <w:rFonts w:ascii="Times New Roman;sans-serif" w:hAnsi="Times New Roman;sans-serif"/>
          <w:b w:val="false"/>
          <w:color w:val="000000"/>
          <w:sz w:val="24"/>
        </w:rPr>
        <w:t xml:space="preserve">stock offerings, stock splits or changes in dividend policy. </w:t>
      </w:r>
    </w:p>
    <w:p>
      <w:pPr>
        <w:pStyle w:val="TextBody"/>
        <w:bidi w:val="0"/>
        <w:spacing w:lineRule="auto" w:line="319" w:before="200" w:after="283"/>
        <w:jc w:val="both"/>
        <w:rPr/>
      </w:pPr>
      <w:r>
        <w:rPr>
          <w:color w:val="000000"/>
        </w:rPr>
        <w:t>“</w:t>
      </w:r>
      <w:r>
        <w:rPr>
          <w:rFonts w:ascii="Times New Roman;sans-serif" w:hAnsi="Times New Roman;sans-serif"/>
          <w:b/>
          <w:i/>
          <w:color w:val="000000"/>
          <w:sz w:val="24"/>
        </w:rPr>
        <w:t>Nonpublic</w:t>
      </w:r>
      <w:r>
        <w:rPr>
          <w:color w:val="000000"/>
        </w:rPr>
        <w:t xml:space="preserve">” </w:t>
      </w:r>
      <w:r>
        <w:rPr>
          <w:rFonts w:ascii="Times New Roman;sans-serif" w:hAnsi="Times New Roman;sans-serif"/>
          <w:b w:val="false"/>
          <w:color w:val="000000"/>
          <w:sz w:val="24"/>
        </w:rPr>
        <w:t>means that the confidential information has not yet been shared broadly outside the Company. Please remember as well that we may possess confidential information relating to or belonging to our customers, partners or other third parties and it is equally important that we treat this information with the same care with which we treat our own information. If you are not sure whether information is considered public, you should either consult with our Chief Legal Officer or assume that the information is nonpublic and treat it as confidential.</w:t>
      </w:r>
    </w:p>
    <w:p>
      <w:pPr>
        <w:pStyle w:val="TextBody"/>
        <w:bidi w:val="0"/>
        <w:spacing w:lineRule="auto" w:line="319" w:before="200" w:after="283"/>
        <w:jc w:val="both"/>
        <w:rPr/>
      </w:pPr>
      <w:r>
        <w:rPr>
          <w:color w:val="000000"/>
        </w:rPr>
        <w:t>“</w:t>
      </w:r>
      <w:r>
        <w:rPr>
          <w:rFonts w:ascii="Times New Roman;sans-serif" w:hAnsi="Times New Roman;sans-serif"/>
          <w:b/>
          <w:i/>
          <w:color w:val="000000"/>
          <w:sz w:val="24"/>
        </w:rPr>
        <w:t>Securities</w:t>
      </w:r>
      <w:r>
        <w:rPr>
          <w:color w:val="000000"/>
        </w:rPr>
        <w:t xml:space="preserve">” </w:t>
      </w:r>
      <w:r>
        <w:rPr>
          <w:rFonts w:ascii="Times New Roman;sans-serif" w:hAnsi="Times New Roman;sans-serif"/>
          <w:b w:val="false"/>
          <w:color w:val="000000"/>
          <w:sz w:val="24"/>
        </w:rPr>
        <w:t>in the context of this Policy includes common stock, options, preferred stock, restricted stock, restricted stock units, warrants, notes, and any other type of securities that a company may issue, whether they are held in a brokerage account, a 401(k) or similar account, or otherwise.</w:t>
      </w:r>
    </w:p>
    <w:p>
      <w:pPr>
        <w:pStyle w:val="TextBody"/>
        <w:bidi w:val="0"/>
        <w:spacing w:lineRule="auto" w:line="319" w:before="200" w:after="283"/>
        <w:jc w:val="both"/>
        <w:rPr/>
      </w:pPr>
      <w:r>
        <w:rPr>
          <w:rFonts w:ascii="Times New Roman;sans-serif" w:hAnsi="Times New Roman;sans-serif"/>
          <w:b w:val="false"/>
          <w:color w:val="000000"/>
          <w:sz w:val="24"/>
        </w:rPr>
        <w:t xml:space="preserve">A </w:t>
      </w:r>
      <w:r>
        <w:rPr>
          <w:color w:val="000000"/>
        </w:rPr>
        <w:t>“</w:t>
      </w:r>
      <w:r>
        <w:rPr>
          <w:rFonts w:ascii="Times New Roman;sans-serif" w:hAnsi="Times New Roman;sans-serif"/>
          <w:b/>
          <w:i/>
          <w:color w:val="000000"/>
          <w:sz w:val="24"/>
        </w:rPr>
        <w:t>Blackout Period</w:t>
      </w:r>
      <w:r>
        <w:rPr>
          <w:color w:val="000000"/>
        </w:rPr>
        <w:t xml:space="preserve">” </w:t>
      </w:r>
      <w:r>
        <w:rPr>
          <w:rFonts w:ascii="Times New Roman;sans-serif" w:hAnsi="Times New Roman;sans-serif"/>
          <w:b w:val="false"/>
          <w:color w:val="000000"/>
          <w:sz w:val="24"/>
        </w:rPr>
        <w:t>is when Insiders are prohibited from buying or selling Company securities. Our Chief Legal Officer may designate special Blackout Periods that apply to specific individuals or groups of people (including all Insiders) for as long as our Chief Legal Officer determines. Additionally, if subject to a Blackout Period, you may not tell anyone that a special Blackout Period has been designated or that one previously was in place because that also is confidential information that cannot be disclosed internally or externally.</w:t>
      </w:r>
    </w:p>
    <w:p>
      <w:pPr>
        <w:pStyle w:val="TextBody"/>
        <w:bidi w:val="0"/>
        <w:spacing w:lineRule="auto" w:line="319" w:before="200" w:after="283"/>
        <w:jc w:val="both"/>
        <w:rPr/>
      </w:pPr>
      <w:r>
        <w:rPr>
          <w:rFonts w:ascii="Times New Roman;sans-serif" w:hAnsi="Times New Roman;sans-serif"/>
          <w:b w:val="false"/>
          <w:color w:val="000000"/>
          <w:sz w:val="24"/>
        </w:rPr>
        <w:t>A “</w:t>
      </w:r>
      <w:r>
        <w:rPr>
          <w:rFonts w:ascii="Times New Roman;sans-serif" w:hAnsi="Times New Roman;sans-serif"/>
          <w:b/>
          <w:i/>
          <w:color w:val="000000"/>
          <w:sz w:val="24"/>
        </w:rPr>
        <w:t>Trading Window”</w:t>
      </w:r>
      <w:r>
        <w:rPr>
          <w:color w:val="000000"/>
        </w:rPr>
        <w:t xml:space="preserve"> </w:t>
      </w:r>
      <w:r>
        <w:rPr>
          <w:rFonts w:ascii="Times New Roman;sans-serif" w:hAnsi="Times New Roman;sans-serif"/>
          <w:b w:val="false"/>
          <w:color w:val="000000"/>
          <w:sz w:val="24"/>
        </w:rPr>
        <w:t xml:space="preserve">is a period of time between public disclosures during which Designated Insiders may trade without having to get preclearance. BuzzFeed’s trading window generally opens two full market trading days following widespread public release of our quarterly or year-end operating results and closes before the opening of trading on the day which is two weeks prior to the end of the current quarter. For example, if we publicly announce our quarterly financial results after close of trading on a Monday (or before trading begins on a Tuesday), then the first time an Insider can trade our securities is generally after the close of market on Wednesday (effectively at the opening of the market on Thursday for regular trading). For </w:t>
      </w: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19.1.1</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85"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4</w:t>
                      </w:r>
                    </w:p>
                  </w:txbxContent>
                </v:textbox>
                <w10:wrap type="none"/>
              </v:rect>
            </w:pict>
          </mc:Fallback>
        </mc:AlternateContent>
      </w:r>
    </w:p>
    <w:p>
      <w:pPr>
        <w:pStyle w:val="TextBody"/>
        <w:bidi w:val="0"/>
        <w:spacing w:before="0" w:after="0"/>
        <w:ind w:left="0" w:right="0" w:hanging="630"/>
        <w:jc w:val="left"/>
        <w:rPr/>
      </w:pPr>
      <w:r>
        <w:rPr/>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avoidance of doubt, the opening and closing of Trading Windows will be communicated to Insiders.</w:t>
      </w:r>
    </w:p>
    <w:p>
      <w:pPr>
        <w:pStyle w:val="TextBody"/>
        <w:bidi w:val="0"/>
        <w:spacing w:lineRule="auto" w:line="319" w:before="200" w:after="283"/>
        <w:jc w:val="both"/>
        <w:rPr/>
      </w:pPr>
      <w:r>
        <w:rPr>
          <w:color w:val="000000"/>
        </w:rPr>
        <w:t>“</w:t>
      </w:r>
      <w:r>
        <w:rPr>
          <w:rFonts w:ascii="Times New Roman;sans-serif" w:hAnsi="Times New Roman;sans-serif"/>
          <w:b/>
          <w:i/>
          <w:color w:val="000000"/>
          <w:sz w:val="24"/>
        </w:rPr>
        <w:t>Preclearance</w:t>
      </w:r>
      <w:r>
        <w:rPr>
          <w:color w:val="000000"/>
        </w:rPr>
        <w:t xml:space="preserve">” </w:t>
      </w:r>
      <w:r>
        <w:rPr>
          <w:rFonts w:ascii="Times New Roman;sans-serif" w:hAnsi="Times New Roman;sans-serif"/>
          <w:b w:val="false"/>
          <w:color w:val="000000"/>
          <w:sz w:val="24"/>
        </w:rPr>
        <w:t>is the process to gain approval in advance of buying or selling Company shares. Designated Insiders and Directors trading outside of a 10b5-1 Plan must obtain preclearance (</w:t>
      </w:r>
      <w:r>
        <w:rPr>
          <w:rFonts w:ascii="Times New Roman;sans-serif" w:hAnsi="Times New Roman;sans-serif"/>
          <w:b w:val="false"/>
          <w:color w:val="1155CC"/>
          <w:sz w:val="24"/>
          <w:u w:val="single"/>
        </w:rPr>
        <w:t>using this form</w:t>
      </w:r>
      <w:r>
        <w:rPr>
          <w:rFonts w:ascii="Times New Roman;sans-serif" w:hAnsi="Times New Roman;sans-serif"/>
          <w:b w:val="false"/>
          <w:color w:val="000000"/>
          <w:sz w:val="24"/>
        </w:rPr>
        <w:t>). Employees, consultants, contractors, and freelancers who are subject to a Blackout Period should raise a preclearance request (</w:t>
      </w:r>
      <w:r>
        <w:rPr>
          <w:rFonts w:ascii="Times New Roman;sans-serif" w:hAnsi="Times New Roman;sans-serif"/>
          <w:b w:val="false"/>
          <w:color w:val="1155CC"/>
          <w:sz w:val="24"/>
          <w:u w:val="single"/>
        </w:rPr>
        <w:t>using this form</w:t>
      </w:r>
      <w:r>
        <w:rPr>
          <w:rFonts w:ascii="Times New Roman;sans-serif" w:hAnsi="Times New Roman;sans-serif"/>
          <w:b w:val="false"/>
          <w:color w:val="000000"/>
          <w:sz w:val="24"/>
        </w:rPr>
        <w:t>) if seeking to trade during such Blackout Period.</w:t>
      </w:r>
    </w:p>
    <w:p>
      <w:pPr>
        <w:pStyle w:val="TextBody"/>
        <w:bidi w:val="0"/>
        <w:spacing w:lineRule="auto" w:line="319" w:before="200" w:after="283"/>
        <w:jc w:val="both"/>
        <w:rPr/>
      </w:pPr>
      <w:r>
        <w:rPr>
          <w:rFonts w:ascii="Times New Roman;sans-serif" w:hAnsi="Times New Roman;sans-serif"/>
          <w:b w:val="false"/>
          <w:color w:val="000000"/>
          <w:sz w:val="24"/>
        </w:rPr>
        <w:t>A “</w:t>
      </w:r>
      <w:r>
        <w:rPr>
          <w:rFonts w:ascii="Times New Roman;sans-serif" w:hAnsi="Times New Roman;sans-serif"/>
          <w:b/>
          <w:i/>
          <w:color w:val="000000"/>
          <w:sz w:val="24"/>
        </w:rPr>
        <w:t>10b5-1 Plan”</w:t>
      </w:r>
      <w:r>
        <w:rPr>
          <w:color w:val="000000"/>
        </w:rPr>
        <w:t xml:space="preserve"> </w:t>
      </w:r>
      <w:r>
        <w:rPr>
          <w:rFonts w:ascii="Times New Roman;sans-serif" w:hAnsi="Times New Roman;sans-serif"/>
          <w:b w:val="false"/>
          <w:color w:val="000000"/>
          <w:sz w:val="24"/>
        </w:rPr>
        <w:t xml:space="preserve">is a written plan for selling or purchasing a predetermined number of securities at a predetermined time that is entered into by an Insider while that Insider is not in possession of MNPI. Read about BuzzFeed’s 10b5-1 Plan </w:t>
      </w:r>
      <w:r>
        <w:rPr>
          <w:rFonts w:ascii="Times New Roman;sans-serif" w:hAnsi="Times New Roman;sans-serif"/>
          <w:b w:val="false"/>
          <w:color w:val="1155CC"/>
          <w:sz w:val="24"/>
          <w:u w:val="single"/>
        </w:rPr>
        <w:t>here</w:t>
      </w:r>
      <w:r>
        <w:rPr>
          <w:rFonts w:ascii="Times New Roman;sans-serif" w:hAnsi="Times New Roman;sans-serif"/>
          <w:b w:val="false"/>
          <w:color w:val="000000"/>
          <w:sz w:val="24"/>
        </w:rPr>
        <w:t>.</w:t>
      </w:r>
    </w:p>
    <w:p>
      <w:pPr>
        <w:pStyle w:val="TextBody"/>
        <w:bidi w:val="0"/>
        <w:spacing w:lineRule="auto" w:line="319" w:before="240" w:after="283"/>
        <w:jc w:val="both"/>
        <w:rPr>
          <w:rFonts w:ascii="Times New Roman;sans-serif" w:hAnsi="Times New Roman;sans-serif"/>
          <w:b/>
          <w:color w:val="FF0000"/>
          <w:sz w:val="24"/>
        </w:rPr>
      </w:pPr>
      <w:r>
        <w:rPr>
          <w:rFonts w:ascii="Times New Roman;sans-serif" w:hAnsi="Times New Roman;sans-serif"/>
          <w:b/>
          <w:color w:val="FF0000"/>
          <w:sz w:val="24"/>
        </w:rPr>
        <w:t>RESTRICTIONS FOR INSIDERS</w:t>
      </w:r>
    </w:p>
    <w:p>
      <w:pPr>
        <w:pStyle w:val="TextBody"/>
        <w:bidi w:val="0"/>
        <w:spacing w:lineRule="auto" w:line="319" w:before="200" w:after="20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is a list of prohibited activities for all Insiders:</w:t>
      </w:r>
    </w:p>
    <w:p>
      <w:pPr>
        <w:pStyle w:val="TextBody"/>
        <w:bidi w:val="0"/>
        <w:spacing w:lineRule="auto" w:line="319" w:before="0" w:after="120"/>
        <w:ind w:left="0" w:right="0" w:hanging="720"/>
        <w:jc w:val="both"/>
        <w:rPr/>
      </w:pPr>
      <w:r>
        <w:rPr>
          <w:color w:val="000000"/>
        </w:rPr>
        <w:t>●</w:t>
      </w:r>
      <w:r>
        <w:rPr>
          <w:rFonts w:ascii="Times New Roman;sans-serif" w:hAnsi="Times New Roman;sans-serif"/>
          <w:b w:val="false"/>
          <w:color w:val="000000"/>
          <w:sz w:val="24"/>
        </w:rPr>
        <w:t xml:space="preserve">Trade our securities while in possession of any MNPI (unless in accordance with an approved </w:t>
      </w:r>
      <w:r>
        <w:rPr>
          <w:rFonts w:ascii="Times New Roman;sans-serif" w:hAnsi="Times New Roman;sans-serif"/>
          <w:b w:val="false"/>
          <w:color w:val="1155CC"/>
          <w:sz w:val="24"/>
          <w:u w:val="single"/>
        </w:rPr>
        <w:t>10b5-1 Plan</w:t>
      </w:r>
      <w:r>
        <w:rPr>
          <w:rFonts w:ascii="Times New Roman;sans-serif" w:hAnsi="Times New Roman;sans-serif"/>
          <w:b w:val="false"/>
          <w:color w:val="000000"/>
          <w:sz w:val="24"/>
        </w:rPr>
        <w:t>).</w:t>
      </w:r>
    </w:p>
    <w:p>
      <w:pPr>
        <w:pStyle w:val="TextBody"/>
        <w:bidi w:val="0"/>
        <w:spacing w:lineRule="auto" w:line="319" w:before="0" w:after="120"/>
        <w:ind w:left="0" w:right="0" w:hanging="720"/>
        <w:jc w:val="both"/>
        <w:rPr/>
      </w:pPr>
      <w:r>
        <w:rPr>
          <w:color w:val="000000"/>
        </w:rPr>
        <w:t>●</w:t>
      </w:r>
      <w:r>
        <w:rPr>
          <w:rFonts w:ascii="Times New Roman;sans-serif" w:hAnsi="Times New Roman;sans-serif"/>
          <w:b w:val="false"/>
          <w:color w:val="000000"/>
          <w:sz w:val="24"/>
        </w:rPr>
        <w:t xml:space="preserve">Trade our securities during a Blackout Period designated by our Chief Legal Officer (unless in accordance with an approved </w:t>
      </w:r>
      <w:r>
        <w:rPr>
          <w:rFonts w:ascii="Times New Roman;sans-serif" w:hAnsi="Times New Roman;sans-serif"/>
          <w:b w:val="false"/>
          <w:color w:val="1155CC"/>
          <w:sz w:val="24"/>
          <w:u w:val="single"/>
        </w:rPr>
        <w:t>10b5-1 Plan</w:t>
      </w:r>
      <w:r>
        <w:rPr>
          <w:rFonts w:ascii="Times New Roman;sans-serif" w:hAnsi="Times New Roman;sans-serif"/>
          <w:b w:val="false"/>
          <w:color w:val="000000"/>
          <w:sz w:val="24"/>
        </w:rPr>
        <w:t>).</w:t>
      </w:r>
    </w:p>
    <w:p>
      <w:pPr>
        <w:pStyle w:val="TextBody"/>
        <w:bidi w:val="0"/>
        <w:spacing w:lineRule="auto" w:line="319" w:before="0" w:after="120"/>
        <w:ind w:left="0" w:right="0" w:hanging="720"/>
        <w:jc w:val="both"/>
        <w:rPr/>
      </w:pPr>
      <w:r>
        <w:rPr>
          <w:color w:val="000000"/>
        </w:rPr>
        <w:t>●</w:t>
      </w:r>
      <w:r>
        <w:rPr>
          <w:rFonts w:ascii="Times New Roman;sans-serif" w:hAnsi="Times New Roman;sans-serif"/>
          <w:b w:val="false"/>
          <w:color w:val="000000"/>
          <w:sz w:val="24"/>
        </w:rPr>
        <w:t>Unless approved in advance by our Chief Legal Officer, make a gift, charitable contribution or other transfer without consideration of our securities during an applicable Blackout Period.</w:t>
      </w:r>
    </w:p>
    <w:p>
      <w:pPr>
        <w:pStyle w:val="TextBody"/>
        <w:bidi w:val="0"/>
        <w:spacing w:lineRule="auto" w:line="319" w:before="0" w:after="120"/>
        <w:ind w:left="0" w:right="0" w:hanging="720"/>
        <w:jc w:val="both"/>
        <w:rPr/>
      </w:pPr>
      <w:r>
        <w:rPr>
          <w:color w:val="000000"/>
        </w:rPr>
        <w:t>●</w:t>
      </w:r>
      <w:r>
        <w:rPr>
          <w:rFonts w:ascii="Times New Roman;sans-serif" w:hAnsi="Times New Roman;sans-serif"/>
          <w:b w:val="false"/>
          <w:color w:val="000000"/>
          <w:sz w:val="24"/>
        </w:rPr>
        <w:t xml:space="preserve">Take action based on MNPI or share MNPI with any outside person, </w:t>
      </w:r>
      <w:r>
        <w:rPr>
          <w:rFonts w:ascii="Times New Roman;sans-serif" w:hAnsi="Times New Roman;sans-serif"/>
          <w:b w:val="false"/>
          <w:i/>
          <w:color w:val="000000"/>
          <w:sz w:val="24"/>
        </w:rPr>
        <w:t>unless</w:t>
      </w:r>
      <w:r>
        <w:rPr>
          <w:color w:val="000000"/>
        </w:rPr>
        <w:t xml:space="preserve"> </w:t>
      </w:r>
      <w:r>
        <w:rPr>
          <w:rFonts w:ascii="Times New Roman;sans-serif" w:hAnsi="Times New Roman;sans-serif"/>
          <w:b w:val="false"/>
          <w:color w:val="000000"/>
          <w:sz w:val="24"/>
        </w:rPr>
        <w:t>required by your job and such person is under NDA, or as authorized by our President, Chief Financial Officer or Chief Legal Officer.</w:t>
      </w:r>
    </w:p>
    <w:p>
      <w:pPr>
        <w:pStyle w:val="TextBody"/>
        <w:bidi w:val="0"/>
        <w:spacing w:lineRule="auto" w:line="319" w:before="0" w:after="120"/>
        <w:ind w:left="0" w:right="0" w:hanging="720"/>
        <w:jc w:val="both"/>
        <w:rPr/>
      </w:pPr>
      <w:r>
        <w:rPr>
          <w:color w:val="000000"/>
        </w:rPr>
        <w:t>●</w:t>
      </w:r>
      <w:r>
        <w:rPr>
          <w:rFonts w:ascii="Times New Roman;sans-serif" w:hAnsi="Times New Roman;sans-serif"/>
          <w:b w:val="false"/>
          <w:color w:val="000000"/>
          <w:sz w:val="24"/>
        </w:rPr>
        <w:t xml:space="preserve">Give trading advice about the Company, </w:t>
      </w:r>
      <w:r>
        <w:rPr>
          <w:rFonts w:ascii="Times New Roman;sans-serif" w:hAnsi="Times New Roman;sans-serif"/>
          <w:b w:val="false"/>
          <w:i/>
          <w:color w:val="000000"/>
          <w:sz w:val="24"/>
        </w:rPr>
        <w:t>unless</w:t>
      </w:r>
      <w:r>
        <w:rPr>
          <w:color w:val="000000"/>
        </w:rPr>
        <w:t xml:space="preserve"> </w:t>
      </w:r>
      <w:r>
        <w:rPr>
          <w:rFonts w:ascii="Times New Roman;sans-serif" w:hAnsi="Times New Roman;sans-serif"/>
          <w:b w:val="false"/>
          <w:color w:val="000000"/>
          <w:sz w:val="24"/>
        </w:rPr>
        <w:t>the advice is to tell someone not to trade our securities because the trade would violate this Policy or the law.</w:t>
      </w:r>
    </w:p>
    <w:p>
      <w:pPr>
        <w:pStyle w:val="TextBody"/>
        <w:bidi w:val="0"/>
        <w:spacing w:lineRule="auto" w:line="319" w:before="0" w:after="120"/>
        <w:ind w:left="0" w:right="0" w:hanging="720"/>
        <w:jc w:val="both"/>
        <w:rPr/>
      </w:pPr>
      <w:r>
        <w:rPr>
          <w:color w:val="000000"/>
        </w:rPr>
        <w:t>●</w:t>
      </w:r>
      <w:r>
        <w:rPr>
          <w:rFonts w:ascii="Times New Roman;sans-serif" w:hAnsi="Times New Roman;sans-serif"/>
          <w:b w:val="false"/>
          <w:color w:val="000000"/>
          <w:sz w:val="24"/>
        </w:rPr>
        <w:t>Other than the exercise of equity awards issued by the Company, engage in transactions involving options or other derivative securities on our stock, such as puts and calls, whether on an exchange or in any other market.</w:t>
      </w:r>
    </w:p>
    <w:p>
      <w:pPr>
        <w:pStyle w:val="TextBody"/>
        <w:bidi w:val="0"/>
        <w:spacing w:lineRule="auto" w:line="319" w:before="0" w:after="120"/>
        <w:ind w:left="0" w:right="0" w:hanging="720"/>
        <w:jc w:val="both"/>
        <w:rPr/>
      </w:pPr>
      <w:r>
        <w:rPr>
          <w:color w:val="000000"/>
        </w:rPr>
        <w:t>●</w:t>
      </w:r>
      <w:r>
        <w:rPr>
          <w:rFonts w:ascii="Times New Roman;sans-serif" w:hAnsi="Times New Roman;sans-serif"/>
          <w:b w:val="false"/>
          <w:color w:val="000000"/>
          <w:sz w:val="24"/>
        </w:rPr>
        <w:t>Engage in hedging or monetization transactions involving our securities, such as zero cost collars and forward sale contracts, or contribute our securities to exchange funds in a manner that could be interpreted as hedging in our stock.</w:t>
      </w:r>
    </w:p>
    <w:p>
      <w:pPr>
        <w:pStyle w:val="TextBody"/>
        <w:bidi w:val="0"/>
        <w:spacing w:lineRule="auto" w:line="319" w:before="0" w:after="120"/>
        <w:ind w:left="0" w:right="0" w:hanging="720"/>
        <w:jc w:val="both"/>
        <w:rPr/>
      </w:pPr>
      <w:r>
        <w:rPr>
          <w:color w:val="000000"/>
        </w:rPr>
        <w:t>●</w:t>
      </w:r>
      <w:r>
        <w:rPr>
          <w:rFonts w:ascii="Times New Roman;sans-serif" w:hAnsi="Times New Roman;sans-serif"/>
          <w:b w:val="false"/>
          <w:color w:val="000000"/>
          <w:sz w:val="24"/>
        </w:rPr>
        <w:t xml:space="preserve">Engage in short sales of our securities, meaning a sale of securities that you do not own, including short sales “against the box.” </w:t>
      </w:r>
    </w:p>
    <w:p>
      <w:pPr>
        <w:pStyle w:val="TextBody"/>
        <w:bidi w:val="0"/>
        <w:spacing w:lineRule="auto" w:line="319" w:before="0" w:after="120"/>
        <w:ind w:left="0" w:right="0" w:hanging="720"/>
        <w:jc w:val="both"/>
        <w:rPr/>
      </w:pPr>
      <w:r>
        <w:rPr>
          <w:color w:val="000000"/>
        </w:rPr>
        <w:t>●</w:t>
      </w:r>
      <w:r>
        <w:rPr>
          <w:rFonts w:ascii="Times New Roman;sans-serif" w:hAnsi="Times New Roman;sans-serif"/>
          <w:b w:val="false"/>
          <w:color w:val="000000"/>
          <w:sz w:val="24"/>
        </w:rPr>
        <w:t xml:space="preserve">Use or pledge our securities as collateral in a margin account or as collateral for a loan </w:t>
      </w:r>
      <w:r>
        <w:rPr>
          <w:rFonts w:ascii="Times New Roman;sans-serif" w:hAnsi="Times New Roman;sans-serif"/>
          <w:b w:val="false"/>
          <w:i/>
          <w:color w:val="000000"/>
          <w:sz w:val="24"/>
        </w:rPr>
        <w:t>unless</w:t>
      </w:r>
      <w:r>
        <w:rPr>
          <w:color w:val="000000"/>
        </w:rPr>
        <w:t xml:space="preserve"> </w:t>
      </w:r>
      <w:r>
        <w:rPr>
          <w:rFonts w:ascii="Times New Roman;sans-serif" w:hAnsi="Times New Roman;sans-serif"/>
          <w:b w:val="false"/>
          <w:color w:val="000000"/>
          <w:sz w:val="24"/>
        </w:rPr>
        <w:t xml:space="preserve">the pledge has been approved by our Chief Legal Officer and in </w:t>
      </w: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19.1.1</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86"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5</w:t>
                      </w:r>
                    </w:p>
                  </w:txbxContent>
                </v:textbox>
                <w10:wrap type="none"/>
              </v:rect>
            </w:pict>
          </mc:Fallback>
        </mc:AlternateContent>
      </w:r>
    </w:p>
    <w:p>
      <w:pPr>
        <w:pStyle w:val="TextBody"/>
        <w:bidi w:val="0"/>
        <w:spacing w:before="0" w:after="0"/>
        <w:ind w:left="0" w:right="0" w:hanging="630"/>
        <w:jc w:val="left"/>
        <w:rPr/>
      </w:pPr>
      <w:r>
        <w:rPr/>
      </w:r>
    </w:p>
    <w:p>
      <w:pPr>
        <w:pStyle w:val="TextBody"/>
        <w:bidi w:val="0"/>
        <w:spacing w:lineRule="auto" w:line="319"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accordance with any applicable policy or guidelines of the Company regarding pledging.</w:t>
      </w:r>
    </w:p>
    <w:p>
      <w:pPr>
        <w:pStyle w:val="TextBody"/>
        <w:bidi w:val="0"/>
        <w:spacing w:lineRule="auto" w:line="319" w:before="0" w:after="120"/>
        <w:ind w:left="0" w:right="0" w:hanging="720"/>
        <w:jc w:val="both"/>
        <w:rPr/>
      </w:pPr>
      <w:r>
        <w:rPr>
          <w:color w:val="000000"/>
        </w:rPr>
        <w:t>●</w:t>
      </w:r>
      <w:r>
        <w:rPr>
          <w:rFonts w:ascii="Times New Roman;sans-serif" w:hAnsi="Times New Roman;sans-serif"/>
          <w:b w:val="false"/>
          <w:color w:val="000000"/>
          <w:sz w:val="24"/>
        </w:rPr>
        <w:t xml:space="preserve">Distribute our securities to limited partners, general partners or stockholders of any entity outside of a Trading Window or during a Blackout Period, unless those limited partners, general partners or stakeholders agree in writing to hold the securities until the next open Trading Window. </w:t>
      </w:r>
    </w:p>
    <w:p>
      <w:pPr>
        <w:pStyle w:val="TextBody"/>
        <w:bidi w:val="0"/>
        <w:spacing w:lineRule="auto" w:line="319" w:before="0" w:after="0"/>
        <w:ind w:left="0" w:right="0" w:hanging="720"/>
        <w:jc w:val="both"/>
        <w:rPr/>
      </w:pPr>
      <w:r>
        <w:rPr>
          <w:color w:val="000000"/>
        </w:rPr>
        <w:t>●</w:t>
      </w:r>
      <w:r>
        <w:rPr>
          <w:rFonts w:ascii="Times New Roman;sans-serif" w:hAnsi="Times New Roman;sans-serif"/>
          <w:b w:val="false"/>
          <w:color w:val="000000"/>
          <w:sz w:val="24"/>
        </w:rPr>
        <w:t>Engage in any of the above activities for securities you own in any other company if you have material nonpublic information about that company obtained in the course of your service to the Company.</w:t>
      </w:r>
    </w:p>
    <w:p>
      <w:pPr>
        <w:pStyle w:val="TextBody"/>
        <w:bidi w:val="0"/>
        <w:spacing w:lineRule="auto" w:line="319" w:before="240" w:after="283"/>
        <w:jc w:val="both"/>
        <w:rPr>
          <w:rFonts w:ascii="Times New Roman;sans-serif" w:hAnsi="Times New Roman;sans-serif"/>
          <w:b/>
          <w:color w:val="FF0000"/>
          <w:sz w:val="24"/>
        </w:rPr>
      </w:pPr>
      <w:r>
        <w:rPr>
          <w:rFonts w:ascii="Times New Roman;sans-serif" w:hAnsi="Times New Roman;sans-serif"/>
          <w:b/>
          <w:color w:val="FF0000"/>
          <w:sz w:val="24"/>
        </w:rPr>
        <w:t>RESTRICTIONS FOR DESIGNATED INSIDERS, SECTION 16 OFFICERS AND DIRECTORS</w:t>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of the restrictions noted above for Insiders apply to our Directors, Section 16 Officers and Designated Insiders. In addition, if a Designated Insider or Director wishes to trade they must obtain preclearance from our Chief Legal Officer (or in the case of the Chief Legal Officer, the Chief Financial Officer) by: </w:t>
      </w:r>
    </w:p>
    <w:p>
      <w:pPr>
        <w:pStyle w:val="TextBody"/>
        <w:bidi w:val="0"/>
        <w:spacing w:lineRule="auto" w:line="319" w:before="200" w:after="283"/>
        <w:ind w:left="0" w:right="0" w:hanging="360"/>
        <w:jc w:val="both"/>
        <w:rPr/>
      </w:pPr>
      <w:r>
        <w:rPr>
          <w:rFonts w:ascii="Times New Roman;sans-serif" w:hAnsi="Times New Roman;sans-serif"/>
          <w:b w:val="false"/>
          <w:color w:val="000000"/>
          <w:sz w:val="24"/>
        </w:rPr>
        <w:t xml:space="preserve">A.raising a request that notes the amount and nature of the proposed trade (using this </w:t>
      </w:r>
      <w:r>
        <w:rPr>
          <w:rFonts w:ascii="Times New Roman;sans-serif" w:hAnsi="Times New Roman;sans-serif"/>
          <w:b w:val="false"/>
          <w:color w:val="1155CC"/>
          <w:sz w:val="24"/>
          <w:u w:val="single"/>
        </w:rPr>
        <w:t>form</w:t>
      </w:r>
      <w:r>
        <w:rPr>
          <w:rFonts w:ascii="Times New Roman;sans-serif" w:hAnsi="Times New Roman;sans-serif"/>
          <w:b w:val="false"/>
          <w:color w:val="000000"/>
          <w:sz w:val="24"/>
        </w:rPr>
        <w:t xml:space="preserve">), and </w:t>
      </w:r>
    </w:p>
    <w:p>
      <w:pPr>
        <w:pStyle w:val="TextBody"/>
        <w:bidi w:val="0"/>
        <w:spacing w:lineRule="auto" w:line="319" w:before="20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B.certifying no earlier than two business days prior to the proposed trade that they have no MNPI.</w:t>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request must be approved by email confirmation from our Chief Legal Officer (approval can be granted or the request can be denied). In reviewing the trade request, the Chief Legal Officer, in consultation with the President and Chief Financial Officer, will consider various aspects of the request, such as the size (e.g. whether it is a substantial portion of the requestor’s holdings), timing of the request, and whether the requestor is subject to the Buzzfeed, Inc. Stock Ownership Guidelines Policy. </w:t>
      </w:r>
    </w:p>
    <w:p>
      <w:pPr>
        <w:pStyle w:val="TextBody"/>
        <w:bidi w:val="0"/>
        <w:spacing w:lineRule="auto" w:line="319" w:before="200" w:after="283"/>
        <w:jc w:val="both"/>
        <w:rPr/>
      </w:pPr>
      <w:r>
        <w:rPr>
          <w:rFonts w:ascii="Times New Roman;sans-serif" w:hAnsi="Times New Roman;sans-serif"/>
          <w:b w:val="false"/>
          <w:color w:val="000000"/>
          <w:sz w:val="24"/>
        </w:rPr>
        <w:t xml:space="preserve">As noted above, Section 16 Officers can only trade through the establishment of a </w:t>
      </w:r>
      <w:r>
        <w:rPr>
          <w:rFonts w:ascii="Times New Roman;sans-serif" w:hAnsi="Times New Roman;sans-serif"/>
          <w:b w:val="false"/>
          <w:color w:val="1155CC"/>
          <w:sz w:val="24"/>
          <w:u w:val="single"/>
        </w:rPr>
        <w:t>10b5-1 plan</w:t>
      </w:r>
      <w:r>
        <w:rPr>
          <w:rFonts w:ascii="Times New Roman;sans-serif" w:hAnsi="Times New Roman;sans-serif"/>
          <w:b w:val="false"/>
          <w:color w:val="000000"/>
          <w:sz w:val="24"/>
        </w:rPr>
        <w:t>.</w:t>
      </w:r>
    </w:p>
    <w:p>
      <w:pPr>
        <w:pStyle w:val="TextBody"/>
        <w:bidi w:val="0"/>
        <w:spacing w:lineRule="auto" w:line="319" w:before="240" w:after="283"/>
        <w:jc w:val="both"/>
        <w:rPr>
          <w:rFonts w:ascii="Times New Roman;sans-serif" w:hAnsi="Times New Roman;sans-serif"/>
          <w:b/>
          <w:color w:val="FF0000"/>
          <w:sz w:val="24"/>
        </w:rPr>
      </w:pPr>
      <w:r>
        <w:rPr>
          <w:rFonts w:ascii="Times New Roman;sans-serif" w:hAnsi="Times New Roman;sans-serif"/>
          <w:b/>
          <w:color w:val="FF0000"/>
          <w:sz w:val="24"/>
        </w:rPr>
        <w:t>EXCEPTIONS TO PROHIBITED ACTIVITIES</w:t>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trading restrictions of this Policy do not apply to the following:</w:t>
      </w:r>
    </w:p>
    <w:p>
      <w:pPr>
        <w:pStyle w:val="TextBody"/>
        <w:bidi w:val="0"/>
        <w:spacing w:lineRule="auto" w:line="319" w:before="200" w:after="283"/>
        <w:jc w:val="both"/>
        <w:rPr/>
      </w:pPr>
      <w:r>
        <w:rPr>
          <w:rFonts w:ascii="Times New Roman;sans-serif" w:hAnsi="Times New Roman;sans-serif"/>
          <w:b w:val="false"/>
          <w:i/>
          <w:color w:val="000000"/>
          <w:sz w:val="24"/>
        </w:rPr>
        <w:t>401(k) Plan</w:t>
      </w:r>
      <w:r>
        <w:rPr>
          <w:rFonts w:ascii="Times New Roman;sans-serif" w:hAnsi="Times New Roman;sans-serif"/>
          <w:b w:val="false"/>
          <w:color w:val="000000"/>
          <w:sz w:val="24"/>
        </w:rPr>
        <w:t xml:space="preserve">. Investing 401(k) plan contributions in a Company stock fund in accordance with the terms of our 401(k) plan. However, any changes in your investment election regarding the Company’s securities </w:t>
      </w:r>
      <w:r>
        <w:rPr>
          <w:rFonts w:ascii="Times New Roman;sans-serif" w:hAnsi="Times New Roman;sans-serif"/>
          <w:b w:val="false"/>
          <w:i/>
          <w:color w:val="000000"/>
          <w:sz w:val="24"/>
        </w:rPr>
        <w:t>are</w:t>
      </w:r>
      <w:r>
        <w:rPr>
          <w:color w:val="000000"/>
        </w:rPr>
        <w:t xml:space="preserve"> </w:t>
      </w:r>
      <w:r>
        <w:rPr>
          <w:rFonts w:ascii="Times New Roman;sans-serif" w:hAnsi="Times New Roman;sans-serif"/>
          <w:b w:val="false"/>
          <w:color w:val="000000"/>
          <w:sz w:val="24"/>
        </w:rPr>
        <w:t>subject to trading restrictions under this Policy.</w:t>
      </w:r>
    </w:p>
    <w:p>
      <w:pPr>
        <w:pStyle w:val="TextBody"/>
        <w:bidi w:val="0"/>
        <w:spacing w:lineRule="auto" w:line="319" w:before="200" w:after="200"/>
        <w:jc w:val="both"/>
        <w:rPr/>
      </w:pPr>
      <w:r>
        <w:rPr>
          <w:rFonts w:ascii="Times New Roman;sans-serif" w:hAnsi="Times New Roman;sans-serif"/>
          <w:b w:val="false"/>
          <w:i/>
          <w:color w:val="000000"/>
          <w:sz w:val="24"/>
        </w:rPr>
        <w:t>Options</w:t>
      </w:r>
      <w:r>
        <w:rPr>
          <w:rFonts w:ascii="Times New Roman;sans-serif" w:hAnsi="Times New Roman;sans-serif"/>
          <w:b w:val="false"/>
          <w:color w:val="000000"/>
          <w:sz w:val="24"/>
        </w:rPr>
        <w:t>.</w:t>
      </w:r>
    </w:p>
    <w:p>
      <w:pPr>
        <w:pStyle w:val="TextBody"/>
        <w:bidi w:val="0"/>
        <w:spacing w:lineRule="auto" w:line="319"/>
        <w:ind w:left="0" w:right="0" w:hanging="720"/>
        <w:jc w:val="both"/>
        <w:rPr/>
      </w:pPr>
      <w:r>
        <w:rPr>
          <w:color w:val="000000"/>
        </w:rPr>
        <w:t>●</w:t>
      </w:r>
      <w:r>
        <w:rPr>
          <w:rFonts w:ascii="Times New Roman;sans-serif" w:hAnsi="Times New Roman;sans-serif"/>
          <w:b w:val="false"/>
          <w:color w:val="000000"/>
          <w:sz w:val="24"/>
        </w:rPr>
        <w:t>Exercising stock options granted under our equity incentive plans for cash;</w:t>
      </w: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19.1.1</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87"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6</w:t>
                      </w:r>
                    </w:p>
                  </w:txbxContent>
                </v:textbox>
                <w10:wrap type="none"/>
              </v:rect>
            </w:pict>
          </mc:Fallback>
        </mc:AlternateContent>
      </w:r>
    </w:p>
    <w:p>
      <w:pPr>
        <w:pStyle w:val="TextBody"/>
        <w:bidi w:val="0"/>
        <w:spacing w:before="0" w:after="0"/>
        <w:ind w:left="0" w:right="0" w:hanging="630"/>
        <w:jc w:val="left"/>
        <w:rPr/>
      </w:pPr>
      <w:r>
        <w:rPr/>
      </w:r>
    </w:p>
    <w:p>
      <w:pPr>
        <w:pStyle w:val="TextBody"/>
        <w:bidi w:val="0"/>
        <w:spacing w:lineRule="auto" w:line="319" w:before="0" w:after="0"/>
        <w:ind w:left="0" w:right="0" w:hanging="720"/>
        <w:jc w:val="both"/>
        <w:rPr/>
      </w:pPr>
      <w:r>
        <w:rPr>
          <w:color w:val="000000"/>
        </w:rPr>
        <w:t>●</w:t>
      </w:r>
      <w:r>
        <w:rPr>
          <w:rFonts w:ascii="Times New Roman;sans-serif" w:hAnsi="Times New Roman;sans-serif"/>
          <w:b w:val="false"/>
          <w:color w:val="000000"/>
          <w:sz w:val="24"/>
        </w:rPr>
        <w:t>Exercising stock options granted under our equity incentive plans by delivering to the Company previously owned Company stock;</w:t>
      </w:r>
    </w:p>
    <w:p>
      <w:pPr>
        <w:pStyle w:val="TextBody"/>
        <w:bidi w:val="0"/>
        <w:spacing w:lineRule="auto" w:line="319" w:before="0" w:after="0"/>
        <w:ind w:left="0" w:right="0" w:hanging="720"/>
        <w:jc w:val="both"/>
        <w:rPr/>
      </w:pPr>
      <w:r>
        <w:rPr>
          <w:color w:val="000000"/>
        </w:rPr>
        <w:t>●</w:t>
      </w:r>
      <w:r>
        <w:rPr>
          <w:rFonts w:ascii="Times New Roman;sans-serif" w:hAnsi="Times New Roman;sans-serif"/>
          <w:b w:val="false"/>
          <w:color w:val="000000"/>
          <w:sz w:val="24"/>
        </w:rPr>
        <w:t>Exercising stock options granted under our equity incentive plans through a net exercise of a stock option that does not involve a sales of shares in the open market; and</w:t>
      </w:r>
    </w:p>
    <w:p>
      <w:pPr>
        <w:pStyle w:val="TextBody"/>
        <w:bidi w:val="0"/>
        <w:spacing w:lineRule="auto" w:line="319" w:before="0" w:after="0"/>
        <w:ind w:left="0" w:right="0" w:hanging="720"/>
        <w:jc w:val="both"/>
        <w:rPr/>
      </w:pPr>
      <w:r>
        <w:rPr>
          <w:color w:val="000000"/>
        </w:rPr>
        <w:t>●</w:t>
      </w:r>
      <w:r>
        <w:rPr>
          <w:rFonts w:ascii="Times New Roman;sans-serif" w:hAnsi="Times New Roman;sans-serif"/>
          <w:b w:val="false"/>
          <w:color w:val="000000"/>
          <w:sz w:val="24"/>
        </w:rPr>
        <w:t xml:space="preserve">Net settlement arrangements for the payment of taxes upon the exercise of stock options granted under our equity incentive plans that do not involve a sale of shares in the open market. </w:t>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However, the sale of any shares issued on the exercise of Company-granted stock options, as well as any cashless exercise of Company-granted stock options in which stock is sold on the open market to pay the exercise price or taxes (i.e., “same-day sales”), are subject to trading restrictions under this Policy.</w:t>
      </w:r>
    </w:p>
    <w:p>
      <w:pPr>
        <w:pStyle w:val="TextBody"/>
        <w:bidi w:val="0"/>
        <w:spacing w:lineRule="auto" w:line="319" w:before="200" w:after="283"/>
        <w:jc w:val="both"/>
        <w:rPr/>
      </w:pPr>
      <w:r>
        <w:rPr>
          <w:rFonts w:ascii="Times New Roman;sans-serif" w:hAnsi="Times New Roman;sans-serif"/>
          <w:b w:val="false"/>
          <w:i/>
          <w:color w:val="000000"/>
          <w:sz w:val="24"/>
        </w:rPr>
        <w:t>RSUs</w:t>
      </w:r>
      <w:r>
        <w:rPr>
          <w:rFonts w:ascii="Times New Roman;sans-serif" w:hAnsi="Times New Roman;sans-serif"/>
          <w:b w:val="false"/>
          <w:color w:val="000000"/>
          <w:sz w:val="24"/>
        </w:rPr>
        <w:t xml:space="preserve">. The settlement of RSUs pursuant to a net settlement or a “sale to cover” in the open market, in each case for non-discretionary, automatic tax withholdings initiated and approved by the Company for the payment of taxes upon the vesting of RSUs. </w:t>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However, the sales of any shares received net of shares withheld or sold to cover tax withholdings are subject to trading restrictions under this Policy.</w:t>
      </w:r>
    </w:p>
    <w:p>
      <w:pPr>
        <w:pStyle w:val="TextBody"/>
        <w:bidi w:val="0"/>
        <w:spacing w:lineRule="auto" w:line="319" w:before="240" w:after="283"/>
        <w:ind w:left="0" w:right="0" w:hanging="360"/>
        <w:jc w:val="both"/>
        <w:rPr>
          <w:rFonts w:ascii="Times New Roman;sans-serif" w:hAnsi="Times New Roman;sans-serif"/>
          <w:b/>
          <w:color w:val="FF0000"/>
          <w:sz w:val="24"/>
        </w:rPr>
      </w:pPr>
      <w:r>
        <w:rPr>
          <w:rFonts w:ascii="Times New Roman;sans-serif" w:hAnsi="Times New Roman;sans-serif"/>
          <w:b/>
          <w:color w:val="FF0000"/>
          <w:sz w:val="24"/>
        </w:rPr>
        <w:t>OTHER LEGAL RESTRICTIONS</w:t>
      </w:r>
    </w:p>
    <w:p>
      <w:pPr>
        <w:pStyle w:val="TextBody"/>
        <w:bidi w:val="0"/>
        <w:spacing w:lineRule="auto" w:line="319" w:before="200" w:after="283"/>
        <w:jc w:val="both"/>
        <w:rPr/>
      </w:pPr>
      <w:r>
        <w:rPr>
          <w:rFonts w:ascii="Times New Roman;sans-serif" w:hAnsi="Times New Roman;sans-serif"/>
          <w:b w:val="false"/>
          <w:color w:val="000000"/>
          <w:sz w:val="24"/>
        </w:rPr>
        <w:t xml:space="preserve">The trading prohibitions of this Policy are not the only stock-trading rules and regulations you need to follow. You should be aware of additional prohibitions and restrictions set by contract or by federal and state securities laws and regulations (e.g., contractual restrictions on the resale of securities, rules on short swing trading by Directors and Section 16 Officers, compliance with Rule 144 under the Securities Act of 1933, as amended, and others). Any Insider who is uncertain whether other prohibitions or restrictions apply should ask our </w:t>
      </w:r>
      <w:r>
        <w:rPr>
          <w:rFonts w:ascii="Times New Roman;sans-serif" w:hAnsi="Times New Roman;sans-serif"/>
          <w:b w:val="false"/>
          <w:color w:val="1155CC"/>
          <w:sz w:val="24"/>
          <w:u w:val="single"/>
        </w:rPr>
        <w:t>Chief Legal Officer</w:t>
      </w:r>
      <w:r>
        <w:rPr>
          <w:rFonts w:ascii="Times New Roman;sans-serif" w:hAnsi="Times New Roman;sans-serif"/>
          <w:b w:val="false"/>
          <w:color w:val="000000"/>
          <w:sz w:val="24"/>
        </w:rPr>
        <w:t>.</w:t>
      </w:r>
    </w:p>
    <w:p>
      <w:pPr>
        <w:pStyle w:val="TextBody"/>
        <w:bidi w:val="0"/>
        <w:spacing w:lineRule="auto" w:line="319" w:before="240" w:after="283"/>
        <w:jc w:val="both"/>
        <w:rPr>
          <w:rFonts w:ascii="Times New Roman;sans-serif" w:hAnsi="Times New Roman;sans-serif"/>
          <w:b/>
          <w:color w:val="FF0000"/>
          <w:sz w:val="24"/>
        </w:rPr>
      </w:pPr>
      <w:r>
        <w:rPr>
          <w:rFonts w:ascii="Times New Roman;sans-serif" w:hAnsi="Times New Roman;sans-serif"/>
          <w:b/>
          <w:color w:val="FF0000"/>
          <w:sz w:val="24"/>
        </w:rPr>
        <w:t>THERE ARE SIGNIFICANT CONSEQUENCES FOR VIOLATING INSIDER TRADING LAWS</w:t>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consequences of violating the insider trading laws can be severe. People who violate insider trading laws may be required to disgorge profits made or losses avoided by trading, pay the loss suffered by the persons who purchased securities from or sold securities to the insider tipper, pay civil fines of up to three times the profit made or loss avoided, pay a criminal penalty of up to $5 million for individuals and $25 million for entities and serve a prison term of up to 20 years. In addition, individual directors, officers and other supervisory personnel may also be required to pay major civil or criminal penalties for failure to take appropriate steps to prevent insider trading by those under their supervision, influence or control.</w:t>
      </w: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19.1.1</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88"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7</w:t>
                      </w:r>
                    </w:p>
                  </w:txbxContent>
                </v:textbox>
                <w10:wrap type="none"/>
              </v:rect>
            </w:pict>
          </mc:Fallback>
        </mc:AlternateContent>
      </w:r>
    </w:p>
    <w:p>
      <w:pPr>
        <w:pStyle w:val="TextBody"/>
        <w:bidi w:val="0"/>
        <w:spacing w:before="0" w:after="0"/>
        <w:ind w:left="0" w:right="0" w:hanging="630"/>
        <w:jc w:val="left"/>
        <w:rPr/>
      </w:pPr>
      <w:r>
        <w:rPr/>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may take disciplinary action against anyone violating this Policy, up to and including termination of employment, and may issue stop transfer orders to our transfer agent to prevent any attempted trades that would violate this Policy. </w:t>
      </w:r>
    </w:p>
    <w:p>
      <w:pPr>
        <w:pStyle w:val="TextBody"/>
        <w:bidi w:val="0"/>
        <w:spacing w:lineRule="auto" w:line="319" w:before="240" w:after="283"/>
        <w:jc w:val="both"/>
        <w:rPr>
          <w:rFonts w:ascii="Times New Roman;sans-serif" w:hAnsi="Times New Roman;sans-serif"/>
          <w:b/>
          <w:color w:val="FF0000"/>
          <w:sz w:val="24"/>
        </w:rPr>
      </w:pPr>
      <w:r>
        <w:rPr>
          <w:rFonts w:ascii="Times New Roman;sans-serif" w:hAnsi="Times New Roman;sans-serif"/>
          <w:b/>
          <w:color w:val="FF0000"/>
          <w:sz w:val="24"/>
        </w:rPr>
        <w:t>INITIAL AND ANNUAL CERTIFICATION</w:t>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Every Designated Insider and Section 16 Officer must certify that they will abide by this Policy. This certification will be administered annually as long as an individual remains a Designated Insider or Section 16 Officer.</w:t>
      </w:r>
    </w:p>
    <w:p>
      <w:pPr>
        <w:pStyle w:val="TextBody"/>
        <w:bidi w:val="0"/>
        <w:spacing w:lineRule="auto" w:line="319" w:before="240" w:after="283"/>
        <w:jc w:val="both"/>
        <w:rPr>
          <w:rFonts w:ascii="Times New Roman;sans-serif" w:hAnsi="Times New Roman;sans-serif"/>
          <w:b/>
          <w:color w:val="FF0000"/>
          <w:sz w:val="24"/>
        </w:rPr>
      </w:pPr>
      <w:r>
        <w:rPr>
          <w:rFonts w:ascii="Times New Roman;sans-serif" w:hAnsi="Times New Roman;sans-serif"/>
          <w:b/>
          <w:color w:val="FF0000"/>
          <w:sz w:val="24"/>
        </w:rPr>
        <w:t>SPEAKING UP</w:t>
      </w:r>
    </w:p>
    <w:p>
      <w:pPr>
        <w:pStyle w:val="TextBody"/>
        <w:bidi w:val="0"/>
        <w:spacing w:lineRule="auto" w:line="319" w:before="200" w:after="283"/>
        <w:jc w:val="both"/>
        <w:rPr/>
      </w:pPr>
      <w:r>
        <w:rPr>
          <w:rFonts w:ascii="Times New Roman;sans-serif" w:hAnsi="Times New Roman;sans-serif"/>
          <w:b w:val="false"/>
          <w:color w:val="000000"/>
          <w:sz w:val="24"/>
        </w:rPr>
        <w:t xml:space="preserve">Report any violation of this Policy or any federal or state laws governing insider trading or tipping immediately to our Chief Legal Officer. Alternatively, you may submit a concern or complaint regarding a possible violation of this Policy to your manager or Human Resources Business Partner, or you may raise violations anonymously and confidentially through the Company’s </w:t>
      </w:r>
      <w:r>
        <w:rPr>
          <w:rFonts w:ascii="Times New Roman;sans-serif" w:hAnsi="Times New Roman;sans-serif"/>
          <w:b w:val="false"/>
          <w:color w:val="1155CC"/>
          <w:sz w:val="24"/>
          <w:u w:val="single"/>
        </w:rPr>
        <w:t>ethics helpline</w:t>
      </w:r>
      <w:r>
        <w:rPr>
          <w:rFonts w:ascii="Times New Roman;sans-serif" w:hAnsi="Times New Roman;sans-serif"/>
          <w:b w:val="false"/>
          <w:color w:val="000000"/>
          <w:sz w:val="24"/>
        </w:rPr>
        <w:t xml:space="preserve">. </w:t>
      </w:r>
    </w:p>
    <w:p>
      <w:pPr>
        <w:pStyle w:val="TextBody"/>
        <w:bidi w:val="0"/>
        <w:spacing w:lineRule="auto" w:line="319"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Conduct inconsistent with this Policy and failure to report known or suspected wrongdoing may result in disciplinary action up to and including the termination of your employment. In addition, violations of this Policy can result in civil or criminal corporate fines and can also subject an individual to criminal prosecution, fines and imprisonment.</w:t>
      </w:r>
    </w:p>
    <w:p>
      <w:pPr>
        <w:pStyle w:val="TextBody"/>
        <w:bidi w:val="0"/>
        <w:spacing w:lineRule="auto" w:line="319" w:before="200" w:after="283"/>
        <w:jc w:val="both"/>
        <w:rPr/>
      </w:pPr>
      <w:r>
        <w:rPr>
          <w:rFonts w:ascii="Times New Roman;sans-serif" w:hAnsi="Times New Roman;sans-serif"/>
          <w:b w:val="false"/>
          <w:color w:val="000000"/>
          <w:sz w:val="24"/>
        </w:rPr>
        <w:t xml:space="preserve">QUESTIONS | </w:t>
      </w:r>
      <w:r>
        <w:rPr>
          <w:rFonts w:ascii="Times New Roman;sans-serif" w:hAnsi="Times New Roman;sans-serif"/>
          <w:b w:val="false"/>
          <w:color w:val="1155CC"/>
          <w:sz w:val="24"/>
          <w:u w:val="single"/>
        </w:rPr>
        <w:t>corporatesecretarysoffice@buzzfeed.com</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19.1.1</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89"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8</w:t>
                      </w:r>
                    </w:p>
                  </w:txbxContent>
                </v:textbox>
                <w10:wrap type="none"/>
              </v:rect>
            </w:pict>
          </mc:Fallback>
        </mc:AlternateContent>
      </w:r>
    </w:p>
    <w:p>
      <w:pPr>
        <w:pStyle w:val="TextBody"/>
        <w:bidi w:val="0"/>
        <w:spacing w:before="0" w:after="0"/>
        <w:ind w:left="0" w:right="0" w:hanging="630"/>
        <w:jc w:val="left"/>
        <w:rPr/>
      </w:pPr>
      <w:r>
        <w:rPr/>
      </w:r>
    </w:p>
    <w:p>
      <w:pPr>
        <w:pStyle w:val="TextBody"/>
        <w:bidi w:val="0"/>
        <w:spacing w:before="0" w:after="240"/>
        <w:jc w:val="center"/>
        <w:rPr/>
      </w:pPr>
      <w:r>
        <w:rPr/>
        <w:drawing>
          <wp:inline distT="0" distB="0" distL="0" distR="0">
            <wp:extent cx="14605" cy="19050"/>
            <wp:effectExtent l="0" t="0" r="0" b="0"/>
            <wp:docPr id="19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 descr=""/>
                    <pic:cNvPicPr>
                      <a:picLocks noChangeAspect="1" noChangeArrowheads="1"/>
                    </pic:cNvPicPr>
                  </pic:nvPicPr>
                  <pic:blipFill>
                    <a:blip r:embed="rId79"/>
                    <a:stretch>
                      <a:fillRect/>
                    </a:stretch>
                  </pic:blipFill>
                  <pic:spPr bwMode="auto">
                    <a:xfrm>
                      <a:off x="0" y="0"/>
                      <a:ext cx="14605" cy="19050"/>
                    </a:xfrm>
                    <a:prstGeom prst="rect">
                      <a:avLst/>
                    </a:prstGeom>
                  </pic:spPr>
                </pic:pic>
              </a:graphicData>
            </a:graphic>
          </wp:inline>
        </w:drawing>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INFORMATION TO BE PROVIDED AND REPRESENTATIONS MADE IN </w:t>
      </w:r>
    </w:p>
    <w:p>
      <w:pPr>
        <w:pStyle w:val="TextBody"/>
        <w:bidi w:val="0"/>
        <w:spacing w:lineRule="auto" w:line="240" w:before="0" w:after="140"/>
        <w:jc w:val="center"/>
        <w:rPr>
          <w:rFonts w:ascii="Times New Roman;sans-serif" w:hAnsi="Times New Roman;sans-serif"/>
          <w:b/>
          <w:color w:val="000000"/>
          <w:sz w:val="24"/>
        </w:rPr>
      </w:pPr>
      <w:r>
        <w:rPr>
          <w:rFonts w:ascii="Times New Roman;sans-serif" w:hAnsi="Times New Roman;sans-serif"/>
          <w:b/>
          <w:color w:val="000000"/>
          <w:sz w:val="24"/>
        </w:rPr>
        <w:t>REQUEST FOR APPROVAL TO TRADE IN BUZZFEED, INC. SECURITIES</w:t>
      </w:r>
    </w:p>
    <w:p>
      <w:pPr>
        <w:pStyle w:val="TextBody"/>
        <w:bidi w:val="0"/>
        <w:spacing w:before="0" w:after="0"/>
        <w:jc w:val="center"/>
        <w:rPr/>
      </w:pPr>
      <w:r>
        <w:rPr/>
        <w:drawing>
          <wp:inline distT="0" distB="0" distL="0" distR="0">
            <wp:extent cx="14605" cy="19050"/>
            <wp:effectExtent l="0" t="0" r="0" b="0"/>
            <wp:docPr id="19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5" descr=""/>
                    <pic:cNvPicPr>
                      <a:picLocks noChangeAspect="1" noChangeArrowheads="1"/>
                    </pic:cNvPicPr>
                  </pic:nvPicPr>
                  <pic:blipFill>
                    <a:blip r:embed="rId80"/>
                    <a:stretch>
                      <a:fillRect/>
                    </a:stretch>
                  </pic:blipFill>
                  <pic:spPr bwMode="auto">
                    <a:xfrm>
                      <a:off x="0" y="0"/>
                      <a:ext cx="14605" cy="19050"/>
                    </a:xfrm>
                    <a:prstGeom prst="rect">
                      <a:avLst/>
                    </a:prstGeom>
                  </pic:spPr>
                </pic:pic>
              </a:graphicData>
            </a:graphic>
          </wp:inline>
        </w:drawing>
      </w:r>
    </w:p>
    <w:p>
      <w:pPr>
        <w:pStyle w:val="TextBody"/>
        <w:bidi w:val="0"/>
        <w:spacing w:before="0" w:after="0"/>
        <w:jc w:val="left"/>
        <w:rPr/>
      </w:pPr>
      <w:r>
        <w:rPr/>
      </w:r>
    </w:p>
    <w:p>
      <w:pPr>
        <w:pStyle w:val="TextBody"/>
        <w:bidi w:val="0"/>
        <w:spacing w:lineRule="auto" w:line="556" w:before="0" w:after="240"/>
        <w:jc w:val="center"/>
        <w:rPr>
          <w:rFonts w:ascii="Times New Roman;sans-serif" w:hAnsi="Times New Roman;sans-serif"/>
          <w:b/>
          <w:i/>
          <w:color w:val="000000"/>
          <w:sz w:val="24"/>
        </w:rPr>
      </w:pPr>
      <w:r>
        <w:rPr>
          <w:rFonts w:ascii="Times New Roman;sans-serif" w:hAnsi="Times New Roman;sans-serif"/>
          <w:b/>
          <w:i/>
          <w:color w:val="000000"/>
          <w:sz w:val="24"/>
        </w:rPr>
        <w:t>This information should be provided by BuzzFeed insider</w:t>
      </w:r>
    </w:p>
    <w:p>
      <w:pPr>
        <w:pStyle w:val="TextBody"/>
        <w:bidi w:val="0"/>
        <w:spacing w:lineRule="auto" w:line="240" w:before="0" w:after="100"/>
        <w:jc w:val="left"/>
        <w:rPr/>
      </w:pPr>
      <w:r>
        <w:rPr>
          <w:rFonts w:ascii="Times New Roman;sans-serif" w:hAnsi="Times New Roman;sans-serif"/>
          <w:b/>
          <w:color w:val="000000"/>
          <w:sz w:val="24"/>
        </w:rPr>
        <w:t>Type of Security</w:t>
      </w:r>
      <w:r>
        <w:rPr>
          <w:color w:val="000000"/>
        </w:rPr>
        <w:t xml:space="preserve"> </w:t>
      </w:r>
      <w:r>
        <w:rPr>
          <w:rFonts w:ascii="Times New Roman;sans-serif" w:hAnsi="Times New Roman;sans-serif"/>
          <w:b w:val="false"/>
          <w:color w:val="000000"/>
          <w:sz w:val="24"/>
        </w:rPr>
        <w:t>(select all applicable security types)</w:t>
      </w:r>
    </w:p>
    <w:p>
      <w:pPr>
        <w:pStyle w:val="TextBody"/>
        <w:bidi w:val="0"/>
        <w:spacing w:lineRule="auto" w:line="240" w:before="0" w:after="0"/>
        <w:ind w:left="0" w:right="0" w:firstLine="720"/>
        <w:jc w:val="left"/>
        <w:rPr>
          <w:color w:val="000000"/>
        </w:rPr>
      </w:pPr>
      <w:r>
        <w:rPr>
          <w:rFonts w:cs="Times New Roman;sans-serif"/>
          <w:bCs w:val="false"/>
          <w:color w:val="000000"/>
          <w:szCs w:val="24"/>
        </w:rPr>
        <w:t xml:space="preserve">𝥷 </w:t>
      </w:r>
      <w:r>
        <w:rPr>
          <w:rFonts w:ascii="Times New Roman;sans-serif" w:hAnsi="Times New Roman;sans-serif"/>
          <w:b w:val="false"/>
          <w:color w:val="000000"/>
          <w:sz w:val="24"/>
        </w:rPr>
        <w:t>Common Stock</w:t>
      </w:r>
    </w:p>
    <w:p>
      <w:pPr>
        <w:pStyle w:val="TextBody"/>
        <w:bidi w:val="0"/>
        <w:spacing w:lineRule="auto" w:line="240" w:before="0" w:after="0"/>
        <w:ind w:left="0" w:right="0" w:firstLine="720"/>
        <w:jc w:val="left"/>
        <w:rPr>
          <w:color w:val="000000"/>
        </w:rPr>
      </w:pPr>
      <w:r>
        <w:rPr>
          <w:rFonts w:cs="Times New Roman;sans-serif"/>
          <w:bCs w:val="false"/>
          <w:color w:val="000000"/>
          <w:szCs w:val="24"/>
        </w:rPr>
        <w:t xml:space="preserve">𝥷 </w:t>
      </w:r>
      <w:r>
        <w:rPr>
          <w:rFonts w:ascii="Times New Roman;sans-serif" w:hAnsi="Times New Roman;sans-serif"/>
          <w:b w:val="false"/>
          <w:color w:val="000000"/>
          <w:sz w:val="24"/>
        </w:rPr>
        <w:t>Restricted Stock Unit</w:t>
      </w:r>
    </w:p>
    <w:p>
      <w:pPr>
        <w:pStyle w:val="TextBody"/>
        <w:bidi w:val="0"/>
        <w:spacing w:lineRule="auto" w:line="240" w:before="0" w:after="0"/>
        <w:ind w:left="0" w:right="0" w:firstLine="720"/>
        <w:jc w:val="left"/>
        <w:rPr>
          <w:color w:val="000000"/>
        </w:rPr>
      </w:pPr>
      <w:r>
        <w:rPr>
          <w:rFonts w:cs="Times New Roman;sans-serif"/>
          <w:bCs w:val="false"/>
          <w:color w:val="000000"/>
          <w:szCs w:val="24"/>
        </w:rPr>
        <w:t xml:space="preserve">𝤿 </w:t>
      </w:r>
      <w:r>
        <w:rPr>
          <w:rFonts w:ascii="Times New Roman;sans-serif" w:hAnsi="Times New Roman;sans-serif"/>
          <w:b w:val="false"/>
          <w:color w:val="000000"/>
          <w:sz w:val="24"/>
        </w:rPr>
        <w:t>Stock Option</w:t>
      </w:r>
    </w:p>
    <w:p>
      <w:pPr>
        <w:pStyle w:val="TextBody"/>
        <w:bidi w:val="0"/>
        <w:spacing w:lineRule="auto" w:line="240" w:before="0" w:after="0"/>
        <w:ind w:left="0" w:right="0" w:firstLine="720"/>
        <w:jc w:val="left"/>
        <w:rPr>
          <w:color w:val="000000"/>
        </w:rPr>
      </w:pPr>
      <w:r>
        <w:rPr>
          <w:rFonts w:cs="Times New Roman;sans-serif"/>
          <w:bCs w:val="false"/>
          <w:color w:val="000000"/>
          <w:szCs w:val="24"/>
        </w:rPr>
        <w:t xml:space="preserve">𝥀 </w:t>
      </w:r>
      <w:r>
        <w:rPr>
          <w:rFonts w:ascii="Times New Roman;sans-serif" w:hAnsi="Times New Roman;sans-serif"/>
          <w:b w:val="false"/>
          <w:color w:val="000000"/>
          <w:sz w:val="24"/>
        </w:rPr>
        <w:t>Other: ______________________</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color w:val="000000"/>
          <w:sz w:val="24"/>
        </w:rPr>
        <w:t>Number of Shares</w:t>
      </w:r>
      <w:r>
        <w:rPr>
          <w:rFonts w:ascii="Times New Roman;sans-serif" w:hAnsi="Times New Roman;sans-serif"/>
          <w:b w:val="false"/>
          <w:color w:val="000000"/>
          <w:sz w:val="24"/>
        </w:rPr>
        <w:t>: ______________________</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Date of Proposed Transaction</w:t>
      </w:r>
      <w:r>
        <w:rPr>
          <w:rFonts w:ascii="Times New Roman;sans-serif" w:hAnsi="Times New Roman;sans-serif"/>
          <w:b w:val="false"/>
          <w:color w:val="000000"/>
          <w:sz w:val="24"/>
        </w:rPr>
        <w:t>: ______________________</w:t>
      </w:r>
    </w:p>
    <w:p>
      <w:pPr>
        <w:pStyle w:val="TextBody"/>
        <w:bidi w:val="0"/>
        <w:spacing w:before="0" w:after="0"/>
        <w:jc w:val="left"/>
        <w:rPr/>
      </w:pPr>
      <w:r>
        <w:rPr/>
      </w:r>
    </w:p>
    <w:p>
      <w:pPr>
        <w:pStyle w:val="TextBody"/>
        <w:bidi w:val="0"/>
        <w:spacing w:lineRule="auto" w:line="240" w:before="0" w:after="100"/>
        <w:jc w:val="left"/>
        <w:rPr/>
      </w:pPr>
      <w:r>
        <w:rPr>
          <w:rFonts w:ascii="Times New Roman;sans-serif" w:hAnsi="Times New Roman;sans-serif"/>
          <w:b/>
          <w:color w:val="000000"/>
          <w:sz w:val="24"/>
        </w:rPr>
        <w:t xml:space="preserve">Type of Transaction </w:t>
      </w:r>
      <w:r>
        <w:rPr>
          <w:rFonts w:ascii="Times New Roman;sans-serif" w:hAnsi="Times New Roman;sans-serif"/>
          <w:b w:val="false"/>
          <w:color w:val="000000"/>
          <w:sz w:val="24"/>
        </w:rPr>
        <w:t>(select all applicable transaction types)</w:t>
      </w:r>
    </w:p>
    <w:p>
      <w:pPr>
        <w:pStyle w:val="TextBody"/>
        <w:bidi w:val="0"/>
        <w:spacing w:lineRule="auto" w:line="240" w:before="0" w:after="0"/>
        <w:jc w:val="left"/>
        <w:rPr>
          <w:color w:val="000000"/>
        </w:rPr>
      </w:pPr>
      <w:r>
        <w:rPr>
          <w:color w:val="000000"/>
        </w:rPr>
        <w:t>    </w:t>
      </w:r>
      <w:r>
        <w:rPr>
          <w:rFonts w:cs="Times New Roman;sans-serif"/>
          <w:bCs w:val="false"/>
          <w:color w:val="000000"/>
          <w:szCs w:val="24"/>
        </w:rPr>
        <w:t xml:space="preserve">𝥀 </w:t>
      </w:r>
      <w:r>
        <w:rPr>
          <w:rFonts w:ascii="Times New Roman;sans-serif" w:hAnsi="Times New Roman;sans-serif"/>
          <w:b w:val="false"/>
          <w:color w:val="000000"/>
          <w:sz w:val="24"/>
        </w:rPr>
        <w:t>Purchase</w:t>
      </w:r>
    </w:p>
    <w:p>
      <w:pPr>
        <w:pStyle w:val="TextBody"/>
        <w:bidi w:val="0"/>
        <w:spacing w:lineRule="auto" w:line="240" w:before="0" w:after="0"/>
        <w:jc w:val="left"/>
        <w:rPr>
          <w:color w:val="000000"/>
        </w:rPr>
      </w:pPr>
      <w:r>
        <w:rPr>
          <w:color w:val="000000"/>
        </w:rPr>
        <w:t>    </w:t>
      </w:r>
      <w:r>
        <w:rPr>
          <w:rFonts w:cs="Times New Roman;sans-serif"/>
          <w:bCs w:val="false"/>
          <w:color w:val="000000"/>
          <w:szCs w:val="24"/>
        </w:rPr>
        <w:t xml:space="preserve">𝥀 </w:t>
      </w:r>
      <w:r>
        <w:rPr>
          <w:rFonts w:ascii="Times New Roman;sans-serif" w:hAnsi="Times New Roman;sans-serif"/>
          <w:b w:val="false"/>
          <w:color w:val="000000"/>
          <w:sz w:val="24"/>
        </w:rPr>
        <w:t>Sale</w:t>
      </w:r>
    </w:p>
    <w:p>
      <w:pPr>
        <w:pStyle w:val="TextBody"/>
        <w:bidi w:val="0"/>
        <w:spacing w:lineRule="auto" w:line="240" w:before="0" w:after="0"/>
        <w:jc w:val="left"/>
        <w:rPr>
          <w:color w:val="000000"/>
        </w:rPr>
      </w:pPr>
      <w:r>
        <w:rPr>
          <w:color w:val="000000"/>
        </w:rPr>
        <w:t>    </w:t>
      </w:r>
      <w:r>
        <w:rPr>
          <w:rFonts w:cs="Times New Roman;sans-serif"/>
          <w:bCs w:val="false"/>
          <w:color w:val="000000"/>
          <w:szCs w:val="24"/>
        </w:rPr>
        <w:t xml:space="preserve">𝥀 </w:t>
      </w:r>
      <w:r>
        <w:rPr>
          <w:rFonts w:ascii="Times New Roman;sans-serif" w:hAnsi="Times New Roman;sans-serif"/>
          <w:b w:val="false"/>
          <w:color w:val="000000"/>
          <w:sz w:val="24"/>
        </w:rPr>
        <w:t>Gift</w:t>
      </w:r>
    </w:p>
    <w:p>
      <w:pPr>
        <w:pStyle w:val="TextBody"/>
        <w:bidi w:val="0"/>
        <w:spacing w:lineRule="auto" w:line="319" w:before="0" w:after="0"/>
        <w:jc w:val="left"/>
        <w:rPr>
          <w:color w:val="000000"/>
        </w:rPr>
      </w:pPr>
      <w:r>
        <w:rPr>
          <w:color w:val="000000"/>
        </w:rPr>
        <w:t>    </w:t>
      </w:r>
      <w:r>
        <w:rPr>
          <w:rFonts w:cs="Times New Roman;sans-serif"/>
          <w:bCs w:val="false"/>
          <w:color w:val="000000"/>
          <w:szCs w:val="24"/>
        </w:rPr>
        <w:t xml:space="preserve">𝥀 </w:t>
      </w:r>
      <w:r>
        <w:rPr>
          <w:rFonts w:ascii="Times New Roman;sans-serif" w:hAnsi="Times New Roman;sans-serif"/>
          <w:b w:val="false"/>
          <w:color w:val="000000"/>
          <w:sz w:val="24"/>
        </w:rPr>
        <w:t>Stock Option exercise - exercise price of $________ per share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Exercise Price paid as follows:</w:t>
      </w:r>
    </w:p>
    <w:p>
      <w:pPr>
        <w:pStyle w:val="TextBody"/>
        <w:bidi w:val="0"/>
        <w:spacing w:lineRule="auto" w:line="240" w:before="0" w:after="0"/>
        <w:jc w:val="left"/>
        <w:rPr>
          <w:color w:val="000000"/>
        </w:rPr>
      </w:pPr>
      <w:r>
        <w:rPr>
          <w:color w:val="000000"/>
        </w:rPr>
        <w:t>    </w:t>
      </w:r>
      <w:r>
        <w:rPr>
          <w:rFonts w:cs="Times New Roman;sans-serif"/>
          <w:bCs w:val="false"/>
          <w:color w:val="000000"/>
          <w:szCs w:val="24"/>
        </w:rPr>
        <w:t xml:space="preserve">𝥀 </w:t>
      </w:r>
      <w:r>
        <w:rPr>
          <w:rFonts w:ascii="Times New Roman;sans-serif" w:hAnsi="Times New Roman;sans-serif"/>
          <w:b w:val="false"/>
          <w:color w:val="000000"/>
          <w:sz w:val="24"/>
        </w:rPr>
        <w:t>Broker’s cashless exchange</w:t>
      </w:r>
    </w:p>
    <w:p>
      <w:pPr>
        <w:pStyle w:val="TextBody"/>
        <w:bidi w:val="0"/>
        <w:spacing w:lineRule="auto" w:line="240" w:before="0" w:after="0"/>
        <w:jc w:val="left"/>
        <w:rPr>
          <w:color w:val="000000"/>
        </w:rPr>
      </w:pPr>
      <w:r>
        <w:rPr>
          <w:color w:val="000000"/>
        </w:rPr>
        <w:t>    </w:t>
      </w:r>
      <w:r>
        <w:rPr>
          <w:rFonts w:cs="Times New Roman;sans-serif"/>
          <w:bCs w:val="false"/>
          <w:color w:val="000000"/>
          <w:szCs w:val="24"/>
        </w:rPr>
        <w:t xml:space="preserve">𝥀 </w:t>
      </w:r>
      <w:r>
        <w:rPr>
          <w:rFonts w:ascii="Times New Roman;sans-serif" w:hAnsi="Times New Roman;sans-serif"/>
          <w:b w:val="false"/>
          <w:color w:val="000000"/>
          <w:sz w:val="24"/>
        </w:rPr>
        <w:t>Cash</w:t>
      </w:r>
    </w:p>
    <w:p>
      <w:pPr>
        <w:pStyle w:val="TextBody"/>
        <w:bidi w:val="0"/>
        <w:spacing w:lineRule="auto" w:line="240" w:before="0" w:after="0"/>
        <w:jc w:val="left"/>
        <w:rPr>
          <w:color w:val="000000"/>
        </w:rPr>
      </w:pPr>
      <w:r>
        <w:rPr>
          <w:color w:val="000000"/>
        </w:rPr>
        <w:t>    </w:t>
      </w:r>
      <w:r>
        <w:rPr>
          <w:rFonts w:cs="Times New Roman;sans-serif"/>
          <w:bCs w:val="false"/>
          <w:color w:val="000000"/>
          <w:szCs w:val="24"/>
        </w:rPr>
        <w:t xml:space="preserve">𝥀 </w:t>
      </w:r>
      <w:r>
        <w:rPr>
          <w:rFonts w:ascii="Times New Roman;sans-serif" w:hAnsi="Times New Roman;sans-serif"/>
          <w:b w:val="false"/>
          <w:color w:val="000000"/>
          <w:sz w:val="24"/>
        </w:rPr>
        <w:t>Other: ______________________</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Withholding taxes paid as follows:</w:t>
      </w:r>
    </w:p>
    <w:p>
      <w:pPr>
        <w:pStyle w:val="TextBody"/>
        <w:bidi w:val="0"/>
        <w:spacing w:lineRule="auto" w:line="240" w:before="0" w:after="0"/>
        <w:jc w:val="left"/>
        <w:rPr>
          <w:color w:val="000000"/>
        </w:rPr>
      </w:pPr>
      <w:r>
        <w:rPr>
          <w:color w:val="000000"/>
        </w:rPr>
        <w:t>    </w:t>
      </w:r>
      <w:r>
        <w:rPr>
          <w:rFonts w:cs="Times New Roman;sans-serif"/>
          <w:bCs w:val="false"/>
          <w:color w:val="000000"/>
          <w:szCs w:val="24"/>
        </w:rPr>
        <w:t xml:space="preserve">𝥀 </w:t>
      </w:r>
      <w:r>
        <w:rPr>
          <w:rFonts w:ascii="Times New Roman;sans-serif" w:hAnsi="Times New Roman;sans-serif"/>
          <w:b w:val="false"/>
          <w:color w:val="000000"/>
          <w:sz w:val="24"/>
        </w:rPr>
        <w:t>Broker’s cashless exchange</w:t>
      </w:r>
    </w:p>
    <w:p>
      <w:pPr>
        <w:pStyle w:val="TextBody"/>
        <w:bidi w:val="0"/>
        <w:spacing w:lineRule="auto" w:line="240" w:before="0" w:after="0"/>
        <w:jc w:val="left"/>
        <w:rPr>
          <w:color w:val="000000"/>
        </w:rPr>
      </w:pPr>
      <w:r>
        <w:rPr>
          <w:color w:val="000000"/>
        </w:rPr>
        <w:t>    </w:t>
      </w:r>
      <w:r>
        <w:rPr>
          <w:rFonts w:cs="Times New Roman;sans-serif"/>
          <w:bCs w:val="false"/>
          <w:color w:val="000000"/>
          <w:szCs w:val="24"/>
        </w:rPr>
        <w:t xml:space="preserve">𝥀 </w:t>
      </w:r>
      <w:r>
        <w:rPr>
          <w:rFonts w:ascii="Times New Roman;sans-serif" w:hAnsi="Times New Roman;sans-serif"/>
          <w:b w:val="false"/>
          <w:color w:val="000000"/>
          <w:sz w:val="24"/>
        </w:rPr>
        <w:t>Cash</w:t>
      </w:r>
    </w:p>
    <w:p>
      <w:pPr>
        <w:pStyle w:val="TextBody"/>
        <w:bidi w:val="0"/>
        <w:spacing w:lineRule="auto" w:line="240" w:before="0" w:after="0"/>
        <w:jc w:val="left"/>
        <w:rPr>
          <w:color w:val="000000"/>
        </w:rPr>
      </w:pPr>
      <w:r>
        <w:rPr>
          <w:color w:val="000000"/>
        </w:rPr>
        <w:t>    </w:t>
      </w:r>
      <w:r>
        <w:rPr>
          <w:rFonts w:cs="Times New Roman;sans-serif"/>
          <w:bCs w:val="false"/>
          <w:color w:val="000000"/>
          <w:szCs w:val="24"/>
        </w:rPr>
        <w:t xml:space="preserve">𝥀 </w:t>
      </w:r>
      <w:r>
        <w:rPr>
          <w:rFonts w:ascii="Times New Roman;sans-serif" w:hAnsi="Times New Roman;sans-serif"/>
          <w:b w:val="false"/>
          <w:color w:val="000000"/>
          <w:sz w:val="24"/>
        </w:rPr>
        <w:t>Other: ______________________</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r>
        <w:rPr>
          <w:rFonts w:cs="Times New Roman;sans-serif"/>
          <w:bCs w:val="false"/>
          <w:color w:val="000000"/>
          <w:szCs w:val="24"/>
        </w:rPr>
        <w:t xml:space="preserve">𝥀 </w:t>
      </w:r>
      <w:r>
        <w:rPr>
          <w:rFonts w:ascii="Times New Roman;sans-serif" w:hAnsi="Times New Roman;sans-serif"/>
          <w:b w:val="false"/>
          <w:color w:val="000000"/>
          <w:sz w:val="24"/>
        </w:rPr>
        <w:t>Other: 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Broker Contact Information</w:t>
      </w:r>
    </w:p>
    <w:p>
      <w:pPr>
        <w:pStyle w:val="TextBody"/>
        <w:bidi w:val="0"/>
        <w:spacing w:before="0" w:after="0"/>
        <w:jc w:val="left"/>
        <w:rPr/>
      </w:pPr>
      <w:r>
        <w:rPr/>
      </w:r>
    </w:p>
    <w:p>
      <w:pPr>
        <w:pStyle w:val="TextBody"/>
        <w:bidi w:val="0"/>
        <w:spacing w:lineRule="auto" w:line="240" w:before="0" w:after="40"/>
        <w:jc w:val="left"/>
        <w:rPr>
          <w:rFonts w:ascii="Times New Roman;sans-serif" w:hAnsi="Times New Roman;sans-serif"/>
          <w:b w:val="false"/>
          <w:color w:val="000000"/>
          <w:sz w:val="24"/>
        </w:rPr>
      </w:pPr>
      <w:r>
        <w:rPr>
          <w:rFonts w:ascii="Times New Roman;sans-serif" w:hAnsi="Times New Roman;sans-serif"/>
          <w:b w:val="false"/>
          <w:color w:val="000000"/>
          <w:sz w:val="24"/>
        </w:rPr>
        <w:t>Contact Name: ______________________        </w:t>
      </w:r>
    </w:p>
    <w:p>
      <w:pPr>
        <w:pStyle w:val="TextBody"/>
        <w:bidi w:val="0"/>
        <w:spacing w:lineRule="auto" w:line="240" w:before="0" w:after="40"/>
        <w:jc w:val="left"/>
        <w:rPr>
          <w:rFonts w:ascii="Times New Roman;sans-serif" w:hAnsi="Times New Roman;sans-serif"/>
          <w:b w:val="false"/>
          <w:color w:val="000000"/>
          <w:sz w:val="24"/>
        </w:rPr>
      </w:pPr>
      <w:r>
        <w:rPr>
          <w:rFonts w:ascii="Times New Roman;sans-serif" w:hAnsi="Times New Roman;sans-serif"/>
          <w:b w:val="false"/>
          <w:color w:val="000000"/>
          <w:sz w:val="24"/>
        </w:rPr>
        <w:t>Company Name: ______________________</w:t>
      </w:r>
    </w:p>
    <w:p>
      <w:pPr>
        <w:pStyle w:val="TextBody"/>
        <w:bidi w:val="0"/>
        <w:spacing w:lineRule="auto" w:line="240" w:before="0" w:after="40"/>
        <w:jc w:val="left"/>
        <w:rPr>
          <w:rFonts w:ascii="Times New Roman;sans-serif" w:hAnsi="Times New Roman;sans-serif"/>
          <w:b w:val="false"/>
          <w:color w:val="000000"/>
          <w:sz w:val="24"/>
        </w:rPr>
      </w:pPr>
      <w:r>
        <w:rPr>
          <w:rFonts w:ascii="Times New Roman;sans-serif" w:hAnsi="Times New Roman;sans-serif"/>
          <w:b w:val="false"/>
          <w:color w:val="000000"/>
          <w:sz w:val="24"/>
        </w:rPr>
        <w:t>Contact Phone: ______________________        </w:t>
      </w:r>
    </w:p>
    <w:p>
      <w:pPr>
        <w:pStyle w:val="TextBody"/>
        <w:bidi w:val="0"/>
        <w:spacing w:lineRule="auto" w:line="240" w:before="0" w:after="40"/>
        <w:jc w:val="left"/>
        <w:rPr>
          <w:rFonts w:ascii="Times New Roman;sans-serif" w:hAnsi="Times New Roman;sans-serif"/>
          <w:b w:val="false"/>
          <w:color w:val="000000"/>
          <w:sz w:val="24"/>
        </w:rPr>
      </w:pPr>
      <w:r>
        <w:rPr>
          <w:rFonts w:ascii="Times New Roman;sans-serif" w:hAnsi="Times New Roman;sans-serif"/>
          <w:b w:val="false"/>
          <w:color w:val="000000"/>
          <w:sz w:val="24"/>
        </w:rPr>
        <w:t>Contact Email: ______________________</w:t>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Your Account Number: ______________________</w:t>
      </w: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19.1.1</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2"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9</w:t>
                      </w:r>
                    </w:p>
                  </w:txbxContent>
                </v:textbox>
                <w10:wrap type="none"/>
              </v:rect>
            </w:pict>
          </mc:Fallback>
        </mc:AlternateContent>
      </w:r>
    </w:p>
    <w:p>
      <w:pPr>
        <w:pStyle w:val="TextBody"/>
        <w:bidi w:val="0"/>
        <w:spacing w:before="0" w:after="0"/>
        <w:ind w:left="0" w:right="0" w:hanging="630"/>
        <w:jc w:val="left"/>
        <w:rPr/>
      </w:pPr>
      <w:r>
        <w:rPr/>
      </w:r>
    </w:p>
    <w:p>
      <w:pPr>
        <w:pStyle w:val="TextBody"/>
        <w:bidi w:val="0"/>
        <w:spacing w:before="0" w:after="0"/>
        <w:jc w:val="left"/>
        <w:rPr/>
      </w:pPr>
      <w:r>
        <w:rPr/>
      </w:r>
    </w:p>
    <w:p>
      <w:pPr>
        <w:pStyle w:val="TextBody"/>
        <w:bidi w:val="0"/>
        <w:spacing w:lineRule="auto" w:line="417" w:before="0" w:after="0"/>
        <w:jc w:val="left"/>
        <w:rPr/>
      </w:pPr>
      <w:r>
        <w:rPr>
          <w:rFonts w:ascii="Times New Roman;sans-serif" w:hAnsi="Times New Roman;sans-serif"/>
          <w:b/>
          <w:color w:val="000000"/>
          <w:sz w:val="24"/>
        </w:rPr>
        <w:t>Status</w:t>
      </w:r>
      <w:r>
        <w:rPr>
          <w:color w:val="000000"/>
        </w:rPr>
        <w:t xml:space="preserve"> </w:t>
      </w:r>
      <w:r>
        <w:rPr>
          <w:rFonts w:ascii="Times New Roman;sans-serif" w:hAnsi="Times New Roman;sans-serif"/>
          <w:b w:val="false"/>
          <w:color w:val="000000"/>
          <w:sz w:val="24"/>
        </w:rPr>
        <w:t>(select all applicable boxes)</w:t>
      </w:r>
    </w:p>
    <w:p>
      <w:pPr>
        <w:pStyle w:val="TextBody"/>
        <w:bidi w:val="0"/>
        <w:spacing w:lineRule="auto" w:line="240" w:before="0" w:after="0"/>
        <w:ind w:left="0" w:right="0" w:firstLine="720"/>
        <w:jc w:val="left"/>
        <w:rPr>
          <w:color w:val="000000"/>
        </w:rPr>
      </w:pPr>
      <w:r>
        <w:rPr>
          <w:rFonts w:cs="Times New Roman;sans-serif"/>
          <w:bCs w:val="false"/>
          <w:color w:val="000000"/>
          <w:szCs w:val="24"/>
        </w:rPr>
        <w:t xml:space="preserve">𝥀 </w:t>
      </w:r>
      <w:r>
        <w:rPr>
          <w:rFonts w:ascii="Times New Roman;sans-serif" w:hAnsi="Times New Roman;sans-serif"/>
          <w:b w:val="false"/>
          <w:color w:val="000000"/>
          <w:sz w:val="24"/>
        </w:rPr>
        <w:t xml:space="preserve">Executive Officer </w:t>
      </w:r>
    </w:p>
    <w:p>
      <w:pPr>
        <w:pStyle w:val="TextBody"/>
        <w:bidi w:val="0"/>
        <w:spacing w:lineRule="auto" w:line="240" w:before="0" w:after="0"/>
        <w:ind w:left="0" w:right="0" w:firstLine="720"/>
        <w:jc w:val="left"/>
        <w:rPr>
          <w:color w:val="000000"/>
        </w:rPr>
      </w:pPr>
      <w:r>
        <w:rPr>
          <w:rFonts w:cs="Times New Roman;sans-serif"/>
          <w:bCs w:val="false"/>
          <w:color w:val="000000"/>
          <w:szCs w:val="24"/>
        </w:rPr>
        <w:t xml:space="preserve">𝥀 </w:t>
      </w:r>
      <w:r>
        <w:rPr>
          <w:rFonts w:ascii="Times New Roman;sans-serif" w:hAnsi="Times New Roman;sans-serif"/>
          <w:b w:val="false"/>
          <w:color w:val="000000"/>
          <w:sz w:val="24"/>
        </w:rPr>
        <w:t>Board Member</w:t>
      </w:r>
    </w:p>
    <w:p>
      <w:pPr>
        <w:pStyle w:val="TextBody"/>
        <w:bidi w:val="0"/>
        <w:spacing w:lineRule="auto" w:line="240" w:before="0" w:after="0"/>
        <w:ind w:left="0" w:right="0" w:firstLine="720"/>
        <w:jc w:val="left"/>
        <w:rPr>
          <w:color w:val="000000"/>
        </w:rPr>
      </w:pPr>
      <w:r>
        <w:rPr>
          <w:rFonts w:cs="Times New Roman;sans-serif"/>
          <w:bCs w:val="false"/>
          <w:color w:val="000000"/>
          <w:szCs w:val="24"/>
        </w:rPr>
        <w:t xml:space="preserve">𝥀 </w:t>
      </w:r>
      <w:r>
        <w:rPr>
          <w:rFonts w:ascii="Times New Roman;sans-serif" w:hAnsi="Times New Roman;sans-serif"/>
          <w:b w:val="false"/>
          <w:color w:val="000000"/>
          <w:sz w:val="24"/>
        </w:rPr>
        <w:t xml:space="preserve">Senior Management </w:t>
      </w:r>
    </w:p>
    <w:p>
      <w:pPr>
        <w:pStyle w:val="TextBody"/>
        <w:bidi w:val="0"/>
        <w:spacing w:lineRule="auto" w:line="240" w:before="0" w:after="0"/>
        <w:ind w:left="0" w:right="0" w:firstLine="720"/>
        <w:jc w:val="left"/>
        <w:rPr>
          <w:color w:val="000000"/>
        </w:rPr>
      </w:pPr>
      <w:r>
        <w:rPr>
          <w:rFonts w:cs="Times New Roman;sans-serif"/>
          <w:bCs w:val="false"/>
          <w:color w:val="000000"/>
          <w:szCs w:val="24"/>
        </w:rPr>
        <w:t xml:space="preserve">𝥀 </w:t>
      </w:r>
      <w:r>
        <w:rPr>
          <w:rFonts w:ascii="Times New Roman;sans-serif" w:hAnsi="Times New Roman;sans-serif"/>
          <w:b w:val="false"/>
          <w:color w:val="000000"/>
          <w:sz w:val="24"/>
        </w:rPr>
        <w:t>Other: ______________________</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4"/>
        </w:rPr>
      </w:pPr>
      <w:r>
        <w:rPr>
          <w:rFonts w:ascii="Times New Roman;sans-serif" w:hAnsi="Times New Roman;sans-serif"/>
          <w:b/>
          <w:color w:val="000000"/>
          <w:sz w:val="24"/>
        </w:rPr>
        <w:t>Filing Information (for Section 16 Officers and Directors)</w:t>
      </w:r>
    </w:p>
    <w:p>
      <w:pPr>
        <w:pStyle w:val="TextBody"/>
        <w:bidi w:val="0"/>
        <w:spacing w:lineRule="auto" w:line="417" w:before="0" w:after="0"/>
        <w:jc w:val="left"/>
        <w:rPr>
          <w:color w:val="000000"/>
        </w:rPr>
      </w:pPr>
      <w:r>
        <w:rPr>
          <w:color w:val="000000"/>
        </w:rPr>
        <w:t>    </w:t>
      </w:r>
      <w:r>
        <w:rPr>
          <w:rFonts w:ascii="Times New Roman;sans-serif" w:hAnsi="Times New Roman;sans-serif"/>
          <w:b w:val="false"/>
          <w:color w:val="000000"/>
          <w:sz w:val="24"/>
        </w:rPr>
        <w:t>File date of last Form 3 or Form 4 filing: ______________________</w:t>
      </w:r>
    </w:p>
    <w:p>
      <w:pPr>
        <w:pStyle w:val="TextBody"/>
        <w:bidi w:val="0"/>
        <w:spacing w:lineRule="auto" w:line="417" w:before="0" w:after="0"/>
        <w:jc w:val="left"/>
        <w:rPr>
          <w:color w:val="000000"/>
        </w:rPr>
      </w:pPr>
      <w:r>
        <w:rPr>
          <w:color w:val="000000"/>
        </w:rPr>
        <w:t>    </w:t>
      </w:r>
      <w:r>
        <w:rPr>
          <w:rFonts w:ascii="Times New Roman;sans-serif" w:hAnsi="Times New Roman;sans-serif"/>
          <w:b w:val="false"/>
          <w:color w:val="000000"/>
          <w:sz w:val="24"/>
        </w:rPr>
        <w:t>Is a Form 144 necessary for this proposed transaction?</w:t>
      </w:r>
    </w:p>
    <w:p>
      <w:pPr>
        <w:pStyle w:val="TextBody"/>
        <w:bidi w:val="0"/>
        <w:spacing w:lineRule="auto" w:line="240" w:before="0" w:after="0"/>
        <w:jc w:val="left"/>
        <w:rPr>
          <w:color w:val="000000"/>
        </w:rPr>
      </w:pPr>
      <w:r>
        <w:rPr>
          <w:color w:val="000000"/>
        </w:rPr>
        <w:t>        </w:t>
      </w:r>
      <w:r>
        <w:rPr>
          <w:rFonts w:cs="Times New Roman;sans-serif"/>
          <w:bCs w:val="false"/>
          <w:color w:val="000000"/>
          <w:szCs w:val="24"/>
        </w:rPr>
        <w:t xml:space="preserve">𝥀 </w:t>
      </w:r>
      <w:r>
        <w:rPr>
          <w:rFonts w:ascii="Times New Roman;sans-serif" w:hAnsi="Times New Roman;sans-serif"/>
          <w:b w:val="false"/>
          <w:color w:val="000000"/>
          <w:sz w:val="24"/>
        </w:rPr>
        <w:t>Yes</w:t>
      </w:r>
    </w:p>
    <w:p>
      <w:pPr>
        <w:pStyle w:val="TextBody"/>
        <w:bidi w:val="0"/>
        <w:spacing w:lineRule="auto" w:line="417" w:before="0" w:after="0"/>
        <w:jc w:val="left"/>
        <w:rPr>
          <w:color w:val="000000"/>
        </w:rPr>
      </w:pPr>
      <w:r>
        <w:rPr>
          <w:color w:val="000000"/>
        </w:rPr>
        <w:t>        </w:t>
      </w:r>
      <w:r>
        <w:rPr>
          <w:rFonts w:cs="Times New Roman;sans-serif"/>
          <w:bCs w:val="false"/>
          <w:color w:val="000000"/>
          <w:szCs w:val="24"/>
        </w:rPr>
        <w:t xml:space="preserve">𝥀 </w:t>
      </w:r>
      <w:r>
        <w:rPr>
          <w:rFonts w:ascii="Times New Roman;sans-serif" w:hAnsi="Times New Roman;sans-serif"/>
          <w:b w:val="false"/>
          <w:color w:val="000000"/>
          <w:sz w:val="24"/>
        </w:rPr>
        <w:t>No</w:t>
      </w:r>
    </w:p>
    <w:p>
      <w:pPr>
        <w:pStyle w:val="TextBody"/>
        <w:bidi w:val="0"/>
        <w:spacing w:lineRule="auto" w:line="417" w:before="0" w:after="0"/>
        <w:jc w:val="left"/>
        <w:rPr>
          <w:color w:val="000000"/>
        </w:rPr>
      </w:pPr>
      <w:r>
        <w:rPr>
          <w:color w:val="000000"/>
        </w:rPr>
        <w:t>    </w:t>
      </w:r>
      <w:r>
        <w:rPr>
          <w:rFonts w:ascii="Times New Roman;sans-serif" w:hAnsi="Times New Roman;sans-serif"/>
          <w:b w:val="false"/>
          <w:color w:val="000000"/>
          <w:sz w:val="24"/>
        </w:rPr>
        <w:t>File date of last Form 144, if applicable: ______________________</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Confirmation and Signature</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submitting a pre-clearance request to trade in the securities of BuzzFeed, Inc., I hereby acknowledge and certify that I am not currently in possession of any material nonpublic information (MNPI) relating to BuzzFeed, Inc. and its subsidiaries. I further certify that the statements made on this form are true and correct.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submitting a pre-clearance request to trade in the securities of BuzzFeed, Inc., I confirm that I understand that clearance may be rescinded prior to effectuating the above transaction if material non-public information regarding BuzzFeed, Inc. or its subsidiaries arises and, in the reasonable judgment of BuzzFeed, Inc., the completion of my trade would be inadvisable.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submitting a pre-clearance request to trade in the securities of BuzzFeed, Inc., I confirm that I also understand that the ultimate responsibility for compliance with the insider trading provisions of the federal securities laws rests with me and that clearance of any proposed transaction should not be construed as a guarantee that I will not later be found to have been in possession of material nonpublic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40"/>
        <w:jc w:val="both"/>
        <w:rPr>
          <w:rFonts w:ascii="Times New Roman;sans-serif" w:hAnsi="Times New Roman;sans-serif"/>
          <w:b w:val="false"/>
          <w:color w:val="000000"/>
          <w:sz w:val="24"/>
        </w:rPr>
      </w:pPr>
      <w:r>
        <w:rPr>
          <w:rFonts w:ascii="Times New Roman;sans-serif" w:hAnsi="Times New Roman;sans-serif"/>
          <w:b w:val="false"/>
          <w:color w:val="000000"/>
          <w:sz w:val="24"/>
        </w:rPr>
        <w:t>Name: ______________________</w:t>
      </w:r>
    </w:p>
    <w:p>
      <w:pPr>
        <w:pStyle w:val="TextBody"/>
        <w:bidi w:val="0"/>
        <w:spacing w:lineRule="auto" w:line="240" w:before="0" w:after="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Signature: ______________________     </w:t>
      </w:r>
    </w:p>
    <w:p>
      <w:pPr>
        <w:pStyle w:val="TextBody"/>
        <w:bidi w:val="0"/>
        <w:spacing w:lineRule="auto" w:line="240" w:before="0" w:after="40"/>
        <w:jc w:val="both"/>
        <w:rPr>
          <w:rFonts w:ascii="Times New Roman;sans-serif" w:hAnsi="Times New Roman;sans-serif"/>
          <w:b w:val="false"/>
          <w:color w:val="000000"/>
          <w:sz w:val="24"/>
        </w:rPr>
      </w:pPr>
      <w:r>
        <w:rPr>
          <w:rFonts w:ascii="Times New Roman;sans-serif" w:hAnsi="Times New Roman;sans-serif"/>
          <w:b w:val="false"/>
          <w:color w:val="000000"/>
          <w:sz w:val="24"/>
        </w:rPr>
        <w:t>Date: ______________________</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Telephone Number: 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drawing>
          <wp:inline distT="0" distB="0" distL="0" distR="0">
            <wp:extent cx="14605" cy="19050"/>
            <wp:effectExtent l="0" t="0" r="0" b="0"/>
            <wp:docPr id="19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 descr=""/>
                    <pic:cNvPicPr>
                      <a:picLocks noChangeAspect="1" noChangeArrowheads="1"/>
                    </pic:cNvPicPr>
                  </pic:nvPicPr>
                  <pic:blipFill>
                    <a:blip r:embed="rId81"/>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Management Review</w:t>
      </w:r>
    </w:p>
    <w:p>
      <w:pPr>
        <w:pStyle w:val="TextBody"/>
        <w:bidi w:val="0"/>
        <w:spacing w:before="0" w:after="0"/>
        <w:jc w:val="both"/>
        <w:rPr/>
      </w:pPr>
      <w:r>
        <w:rPr/>
      </w:r>
    </w:p>
    <w:p>
      <w:pPr>
        <w:pStyle w:val="TextBody"/>
        <w:bidi w:val="0"/>
        <w:spacing w:lineRule="auto" w:line="417" w:before="0" w:after="0"/>
        <w:jc w:val="both"/>
        <w:rPr/>
      </w:pPr>
      <w:r>
        <w:rPr>
          <w:color w:val="000000"/>
        </w:rPr>
        <w:t>    </w:t>
      </w:r>
      <w:r>
        <w:rPr>
          <w:rFonts w:cs="Times New Roman;sans-serif"/>
          <w:bCs w:val="false"/>
          <w:color w:val="000000"/>
          <w:szCs w:val="24"/>
        </w:rPr>
        <w:t xml:space="preserve">𝥀 </w:t>
      </w:r>
      <w:r>
        <w:rPr>
          <w:rFonts w:ascii="Times New Roman;sans-serif" w:hAnsi="Times New Roman;sans-serif"/>
          <w:b/>
          <w:color w:val="000000"/>
          <w:sz w:val="24"/>
        </w:rPr>
        <w:t>Request Approved</w:t>
      </w:r>
    </w:p>
    <w:p>
      <w:pPr>
        <w:pStyle w:val="TextBody"/>
        <w:bidi w:val="0"/>
        <w:spacing w:lineRule="auto" w:line="240"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Transaction must be completed in accordance with BuzzFeed’s Securities Trading Policy and, in any case, within two business days after approval. </w:t>
      </w: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19.1.1</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4"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10</w:t>
                      </w:r>
                    </w:p>
                  </w:txbxContent>
                </v:textbox>
                <w10:wrap type="none"/>
              </v:rect>
            </w:pict>
          </mc:Fallback>
        </mc:AlternateContent>
      </w:r>
    </w:p>
    <w:p>
      <w:pPr>
        <w:pStyle w:val="TextBody"/>
        <w:bidi w:val="0"/>
        <w:spacing w:before="0" w:after="0"/>
        <w:ind w:left="0" w:right="0" w:hanging="630"/>
        <w:jc w:val="left"/>
        <w:rPr/>
      </w:pPr>
      <w:r>
        <w:rPr/>
      </w:r>
    </w:p>
    <w:p>
      <w:pPr>
        <w:pStyle w:val="TextBody"/>
        <w:bidi w:val="0"/>
        <w:spacing w:lineRule="auto" w:line="240" w:before="0" w:after="0"/>
        <w:jc w:val="both"/>
        <w:rPr/>
      </w:pPr>
      <w:r>
        <w:rPr>
          <w:rFonts w:cs="Times New Roman;sans-serif"/>
          <w:bCs w:val="false"/>
          <w:color w:val="000000"/>
          <w:szCs w:val="24"/>
        </w:rPr>
        <w:t xml:space="preserve">𝥀 </w:t>
      </w:r>
      <w:r>
        <w:rPr>
          <w:rFonts w:ascii="Times New Roman;sans-serif" w:hAnsi="Times New Roman;sans-serif"/>
          <w:b/>
          <w:color w:val="000000"/>
          <w:sz w:val="24"/>
        </w:rPr>
        <w:t>Request Approved with the following modification(s)</w:t>
      </w:r>
      <w:r>
        <w:rPr>
          <w:rFonts w:ascii="Times New Roman;sans-serif" w:hAnsi="Times New Roman;sans-serif"/>
          <w:b w:val="false"/>
          <w:color w:val="000000"/>
          <w:sz w:val="24"/>
        </w:rPr>
        <w:t>:    </w:t>
      </w:r>
    </w:p>
    <w:p>
      <w:pPr>
        <w:pStyle w:val="TextBody"/>
        <w:bidi w:val="0"/>
        <w:spacing w:before="0" w:after="0"/>
        <w:jc w:val="both"/>
        <w:rPr/>
      </w:pPr>
      <w:r>
        <w:rPr/>
      </w:r>
    </w:p>
    <w:p>
      <w:pPr>
        <w:pStyle w:val="TextBody"/>
        <w:bidi w:val="0"/>
        <w:spacing w:lineRule="auto" w:line="417" w:before="0" w:after="10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_______________________________________________________________________________________________________________________________________________________________________________________________________________________________________</w:t>
      </w:r>
    </w:p>
    <w:p>
      <w:pPr>
        <w:pStyle w:val="TextBody"/>
        <w:bidi w:val="0"/>
        <w:spacing w:lineRule="auto" w:line="240" w:before="0" w:after="0"/>
        <w:jc w:val="both"/>
        <w:rPr/>
      </w:pPr>
      <w:r>
        <w:rPr>
          <w:color w:val="000000"/>
        </w:rPr>
        <w:t>    </w:t>
      </w:r>
      <w:r>
        <w:rPr>
          <w:rFonts w:cs="Times New Roman;sans-serif"/>
          <w:bCs w:val="false"/>
          <w:color w:val="000000"/>
          <w:szCs w:val="24"/>
        </w:rPr>
        <w:t xml:space="preserve">𝥀 </w:t>
      </w:r>
      <w:r>
        <w:rPr>
          <w:rFonts w:ascii="Times New Roman;sans-serif" w:hAnsi="Times New Roman;sans-serif"/>
          <w:b/>
          <w:color w:val="000000"/>
          <w:sz w:val="24"/>
        </w:rPr>
        <w:t>Request Denied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Signature: ______________________    Name: ______________________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Title: ______________________    Date: ______________________</w:t>
      </w:r>
    </w:p>
    <w:p>
      <w:pPr>
        <w:pStyle w:val="TextBody"/>
        <w:bidi w:val="0"/>
        <w:spacing w:before="0" w:after="0"/>
        <w:jc w:val="both"/>
        <w:rPr/>
      </w:pPr>
      <w:r>
        <w:rPr/>
      </w:r>
    </w:p>
    <w:p>
      <w:pPr>
        <w:pStyle w:val="TextBody"/>
        <w:bidi w:val="0"/>
        <w:spacing w:before="0" w:after="0"/>
        <w:jc w:val="both"/>
        <w:rPr/>
      </w:pPr>
      <w:r>
        <w:rPr/>
        <w:drawing>
          <wp:inline distT="0" distB="0" distL="0" distR="0">
            <wp:extent cx="14605" cy="19050"/>
            <wp:effectExtent l="0" t="0" r="0" b="0"/>
            <wp:docPr id="19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 descr=""/>
                    <pic:cNvPicPr>
                      <a:picLocks noChangeAspect="1" noChangeArrowheads="1"/>
                    </pic:cNvPicPr>
                  </pic:nvPicPr>
                  <pic:blipFill>
                    <a:blip r:embed="rId82"/>
                    <a:stretch>
                      <a:fillRect/>
                    </a:stretch>
                  </pic:blipFill>
                  <pic:spPr bwMode="auto">
                    <a:xfrm>
                      <a:off x="0" y="0"/>
                      <a:ext cx="14605" cy="19050"/>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40"/>
        <w:jc w:val="left"/>
        <w:rPr/>
      </w:pPr>
      <w:r>
        <w:rPr/>
      </w: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19.1.1</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6"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11</w:t>
                      </w:r>
                    </w:p>
                  </w:txbxContent>
                </v:textbox>
                <w10:wrap type="none"/>
              </v:rect>
            </w:pict>
          </mc:Fallback>
        </mc:AlternateContent>
      </w:r>
    </w:p>
    <w:p>
      <w:pPr>
        <w:pStyle w:val="TextBody"/>
        <w:bidi w:val="0"/>
        <w:spacing w:before="0" w:after="0"/>
        <w:ind w:left="0" w:right="0" w:hanging="630"/>
        <w:jc w:val="left"/>
        <w:rPr/>
      </w:pPr>
      <w:r>
        <w:rPr/>
      </w:r>
    </w:p>
    <w:p>
      <w:pPr>
        <w:pStyle w:val="TextBody"/>
        <w:bidi w:val="0"/>
        <w:spacing w:before="0" w:after="240"/>
        <w:jc w:val="left"/>
        <w:rPr/>
      </w:pPr>
      <w:r>
        <w:rPr/>
        <w:drawing>
          <wp:inline distT="0" distB="0" distL="0" distR="0">
            <wp:extent cx="14605" cy="19050"/>
            <wp:effectExtent l="0" t="0" r="0" b="0"/>
            <wp:docPr id="19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 descr=""/>
                    <pic:cNvPicPr>
                      <a:picLocks noChangeAspect="1" noChangeArrowheads="1"/>
                    </pic:cNvPicPr>
                  </pic:nvPicPr>
                  <pic:blipFill>
                    <a:blip r:embed="rId83"/>
                    <a:stretch>
                      <a:fillRect/>
                    </a:stretch>
                  </pic:blipFill>
                  <pic:spPr bwMode="auto">
                    <a:xfrm>
                      <a:off x="0" y="0"/>
                      <a:ext cx="14605" cy="19050"/>
                    </a:xfrm>
                    <a:prstGeom prst="rect">
                      <a:avLst/>
                    </a:prstGeom>
                  </pic:spPr>
                </pic:pic>
              </a:graphicData>
            </a:graphic>
          </wp:inline>
        </w:drawing>
      </w:r>
    </w:p>
    <w:p>
      <w:pPr>
        <w:pStyle w:val="TextBody"/>
        <w:bidi w:val="0"/>
        <w:spacing w:lineRule="auto" w:line="240" w:before="0" w:after="100"/>
        <w:jc w:val="center"/>
        <w:rPr>
          <w:rFonts w:ascii="Times New Roman;sans-serif" w:hAnsi="Times New Roman;sans-serif"/>
          <w:b/>
          <w:color w:val="000000"/>
          <w:sz w:val="24"/>
        </w:rPr>
      </w:pPr>
      <w:r>
        <w:rPr>
          <w:rFonts w:ascii="Times New Roman;sans-serif" w:hAnsi="Times New Roman;sans-serif"/>
          <w:b/>
          <w:color w:val="000000"/>
          <w:sz w:val="24"/>
        </w:rPr>
        <w:t>INITIAL AND ANNUAL CERTIFICATION</w:t>
      </w:r>
    </w:p>
    <w:p>
      <w:pPr>
        <w:pStyle w:val="TextBody"/>
        <w:bidi w:val="0"/>
        <w:spacing w:before="0" w:after="0"/>
        <w:jc w:val="center"/>
        <w:rPr/>
      </w:pPr>
      <w:r>
        <w:rPr/>
        <w:drawing>
          <wp:inline distT="0" distB="0" distL="0" distR="0">
            <wp:extent cx="14605" cy="19050"/>
            <wp:effectExtent l="0" t="0" r="0" b="0"/>
            <wp:docPr id="19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 descr=""/>
                    <pic:cNvPicPr>
                      <a:picLocks noChangeAspect="1" noChangeArrowheads="1"/>
                    </pic:cNvPicPr>
                  </pic:nvPicPr>
                  <pic:blipFill>
                    <a:blip r:embed="rId84"/>
                    <a:stretch>
                      <a:fillRect/>
                    </a:stretch>
                  </pic:blipFill>
                  <pic:spPr bwMode="auto">
                    <a:xfrm>
                      <a:off x="0" y="0"/>
                      <a:ext cx="14605" cy="190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color w:val="000000"/>
          <w:sz w:val="24"/>
        </w:rPr>
        <w:t>Date</w:t>
      </w:r>
      <w:r>
        <w:rPr>
          <w:rFonts w:ascii="Times New Roman;sans-serif" w:hAnsi="Times New Roman;sans-serif"/>
          <w:b w:val="false"/>
          <w:color w:val="000000"/>
          <w:sz w:val="24"/>
        </w:rPr>
        <w:t>:</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To:    </w:t>
      </w:r>
      <w:r>
        <w:rPr>
          <w:rFonts w:ascii="Times New Roman;sans-serif" w:hAnsi="Times New Roman;sans-serif"/>
          <w:b w:val="false"/>
          <w:color w:val="000000"/>
          <w:sz w:val="24"/>
        </w:rPr>
        <w:t>Office of the Chief Legal Officer &amp; Corporate Secretary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 have received a copy of the BuzzFeed, Inc. Securities Trading Policy (the “Policy”). I have read and understand the Policy, and I will comply with it at all times.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jc w:val="left"/>
        <w:rPr>
          <w:color w:val="000000"/>
        </w:rPr>
      </w:pPr>
      <w:r>
        <w:rPr>
          <w:color w:val="000000"/>
        </w:rPr>
        <w:t>                            </w:t>
      </w:r>
      <w:r>
        <w:rPr>
          <w:rFonts w:ascii="Times New Roman;sans-serif" w:hAnsi="Times New Roman;sans-serif"/>
          <w:b w:val="false"/>
          <w:color w:val="000000"/>
          <w:sz w:val="24"/>
        </w:rPr>
        <w:t>By:     ______________________</w:t>
      </w:r>
    </w:p>
    <w:p>
      <w:pPr>
        <w:pStyle w:val="TextBody"/>
        <w:bidi w:val="0"/>
        <w:spacing w:lineRule="auto" w:line="556" w:before="0" w:after="0"/>
        <w:jc w:val="left"/>
        <w:rPr/>
      </w:pPr>
      <w:r>
        <w:rPr>
          <w:color w:val="000000"/>
        </w:rPr>
        <w:t>                            </w:t>
      </w:r>
      <w:r>
        <w:rPr>
          <w:rFonts w:ascii="Times New Roman;sans-serif" w:hAnsi="Times New Roman;sans-serif"/>
          <w:b w:val="false"/>
          <w:color w:val="000000"/>
          <w:sz w:val="24"/>
        </w:rPr>
        <w:t>Name</w:t>
      </w:r>
      <w:r>
        <w:rPr>
          <w:rFonts w:ascii="Times New Roman;sans-serif" w:hAnsi="Times New Roman;sans-serif"/>
          <w:b/>
          <w:color w:val="000000"/>
          <w:sz w:val="24"/>
        </w:rPr>
        <w:t xml:space="preserve">:     </w:t>
      </w:r>
      <w:r>
        <w:rPr>
          <w:rFonts w:ascii="Times New Roman;sans-serif" w:hAnsi="Times New Roman;sans-serif"/>
          <w:b w:val="false"/>
          <w:color w:val="000000"/>
          <w:sz w:val="24"/>
        </w:rPr>
        <w:t>______________________</w:t>
      </w:r>
    </w:p>
    <w:p>
      <w:pPr>
        <w:pStyle w:val="TextBody"/>
        <w:bidi w:val="0"/>
        <w:spacing w:lineRule="auto" w:line="240"/>
        <w:jc w:val="left"/>
        <w:rPr/>
      </w:pPr>
      <w:r>
        <w:rPr>
          <w:color w:val="000000"/>
        </w:rPr>
        <w:t>                            </w:t>
      </w:r>
      <w:r>
        <w:rPr>
          <w:rFonts w:ascii="Times New Roman;sans-serif" w:hAnsi="Times New Roman;sans-serif"/>
          <w:b w:val="false"/>
          <w:color w:val="000000"/>
          <w:sz w:val="24"/>
        </w:rPr>
        <w:t>Title:     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19.1.2</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99"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30"/>
        </w:rPr>
      </w:pPr>
      <w:r>
        <w:rPr>
          <w:rFonts w:ascii="Times New Roman;sans-serif" w:hAnsi="Times New Roman;sans-serif"/>
          <w:b/>
          <w:color w:val="000000"/>
          <w:sz w:val="30"/>
        </w:rPr>
        <w:t>10B5-1 PLANS</w:t>
      </w:r>
    </w:p>
    <w:tbl>
      <w:tblPr>
        <w:tblW w:w="4390" w:type="dxa"/>
        <w:jc w:val="left"/>
        <w:tblInd w:w="0" w:type="dxa"/>
        <w:tblLayout w:type="fixed"/>
        <w:tblCellMar>
          <w:top w:w="28" w:type="dxa"/>
          <w:left w:w="28" w:type="dxa"/>
          <w:bottom w:w="28" w:type="dxa"/>
          <w:right w:w="28" w:type="dxa"/>
        </w:tblCellMar>
      </w:tblPr>
      <w:tblGrid>
        <w:gridCol w:w="498"/>
        <w:gridCol w:w="438"/>
        <w:gridCol w:w="440"/>
        <w:gridCol w:w="529"/>
        <w:gridCol w:w="529"/>
        <w:gridCol w:w="531"/>
        <w:gridCol w:w="415"/>
        <w:gridCol w:w="415"/>
        <w:gridCol w:w="595"/>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376" w:type="dxa"/>
            <w:gridSpan w:val="3"/>
            <w:vMerge w:val="restart"/>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left"/>
              <w:rPr/>
            </w:pPr>
            <w:r>
              <w:rPr/>
              <w:drawing>
                <wp:inline distT="0" distB="0" distL="0" distR="0">
                  <wp:extent cx="809625" cy="809625"/>
                  <wp:effectExtent l="0" t="0" r="0" b="0"/>
                  <wp:docPr id="20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0" descr=""/>
                          <pic:cNvPicPr>
                            <a:picLocks noChangeAspect="1" noChangeArrowheads="1"/>
                          </pic:cNvPicPr>
                        </pic:nvPicPr>
                        <pic:blipFill>
                          <a:blip r:embed="rId85"/>
                          <a:stretch>
                            <a:fillRect/>
                          </a:stretch>
                        </pic:blipFill>
                        <pic:spPr bwMode="auto">
                          <a:xfrm>
                            <a:off x="0" y="0"/>
                            <a:ext cx="809625" cy="809625"/>
                          </a:xfrm>
                          <a:prstGeom prst="rect">
                            <a:avLst/>
                          </a:prstGeom>
                        </pic:spPr>
                      </pic:pic>
                    </a:graphicData>
                  </a:graphic>
                </wp:inline>
              </w:drawing>
            </w:r>
          </w:p>
        </w:tc>
        <w:tc>
          <w:tcPr>
            <w:tcW w:w="1589"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Policy Owner:</w:t>
            </w:r>
          </w:p>
        </w:tc>
        <w:tc>
          <w:tcPr>
            <w:tcW w:w="1425"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w:t>
            </w:r>
          </w:p>
        </w:tc>
      </w:tr>
      <w:tr>
        <w:trPr/>
        <w:tc>
          <w:tcPr>
            <w:tcW w:w="1376" w:type="dxa"/>
            <w:gridSpan w:val="3"/>
            <w:vMerge w:val="continue"/>
            <w:tcBorders>
              <w:top w:val="single" w:sz="8" w:space="0" w:color="000000"/>
              <w:left w:val="single" w:sz="8" w:space="0" w:color="000000"/>
              <w:bottom w:val="single" w:sz="8" w:space="0" w:color="000000"/>
            </w:tcBorders>
            <w:tcMar>
              <w:right w:w="0" w:type="dxa"/>
            </w:tcMar>
            <w:vAlign w:val="center"/>
          </w:tcPr>
          <w:p>
            <w:pPr>
              <w:pStyle w:val="Normal"/>
              <w:bidi w:val="0"/>
              <w:jc w:val="left"/>
              <w:rPr/>
            </w:pPr>
            <w:r>
              <w:rPr/>
            </w:r>
          </w:p>
        </w:tc>
        <w:tc>
          <w:tcPr>
            <w:tcW w:w="1589"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Original Release:</w:t>
            </w:r>
          </w:p>
        </w:tc>
        <w:tc>
          <w:tcPr>
            <w:tcW w:w="1425"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2021</w:t>
            </w:r>
          </w:p>
        </w:tc>
      </w:tr>
      <w:tr>
        <w:trPr/>
        <w:tc>
          <w:tcPr>
            <w:tcW w:w="1376" w:type="dxa"/>
            <w:gridSpan w:val="3"/>
            <w:vMerge w:val="continue"/>
            <w:tcBorders>
              <w:top w:val="single" w:sz="8" w:space="0" w:color="000000"/>
              <w:left w:val="single" w:sz="8" w:space="0" w:color="000000"/>
              <w:bottom w:val="single" w:sz="8" w:space="0" w:color="000000"/>
            </w:tcBorders>
            <w:tcMar>
              <w:right w:w="0" w:type="dxa"/>
            </w:tcMar>
            <w:vAlign w:val="center"/>
          </w:tcPr>
          <w:p>
            <w:pPr>
              <w:pStyle w:val="Normal"/>
              <w:bidi w:val="0"/>
              <w:jc w:val="left"/>
              <w:rPr/>
            </w:pPr>
            <w:r>
              <w:rPr/>
            </w:r>
          </w:p>
        </w:tc>
        <w:tc>
          <w:tcPr>
            <w:tcW w:w="1589"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Last Update:</w:t>
            </w:r>
          </w:p>
        </w:tc>
        <w:tc>
          <w:tcPr>
            <w:tcW w:w="1425"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2023</w:t>
            </w:r>
          </w:p>
        </w:tc>
      </w:tr>
    </w:tbl>
    <w:p>
      <w:pPr>
        <w:pStyle w:val="TextBody"/>
        <w:bidi w:val="0"/>
        <w:spacing w:lineRule="auto" w:line="319" w:before="200" w:after="283"/>
        <w:jc w:val="both"/>
        <w:rPr/>
      </w:pPr>
      <w:r>
        <w:rPr>
          <w:rFonts w:ascii="Times New Roman;sans-serif" w:hAnsi="Times New Roman;sans-serif"/>
          <w:b w:val="false"/>
          <w:color w:val="000000"/>
          <w:sz w:val="20"/>
        </w:rPr>
        <w:t xml:space="preserve">As noted in the </w:t>
      </w:r>
      <w:r>
        <w:rPr>
          <w:rFonts w:ascii="Times New Roman;sans-serif" w:hAnsi="Times New Roman;sans-serif"/>
          <w:b w:val="false"/>
          <w:color w:val="1155CC"/>
          <w:sz w:val="20"/>
          <w:u w:val="single"/>
        </w:rPr>
        <w:t>Securities Trading Policy</w:t>
      </w:r>
      <w:r>
        <w:rPr>
          <w:rFonts w:ascii="Times New Roman;sans-serif" w:hAnsi="Times New Roman;sans-serif"/>
          <w:b w:val="false"/>
          <w:color w:val="000000"/>
          <w:sz w:val="20"/>
        </w:rPr>
        <w:t>, BuzzFeed,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allows Section 16 Officers to trade in our securities pursuant to a 10b5-1 Plan, which is a written plan for selling or purchasing a predetermined number of shares that is entered by a company insider into while that insider is not in possession of MNPI. Terms used but not defined herein will have the meanings given to them in the Securities Trading Policy.</w:t>
      </w:r>
    </w:p>
    <w:p>
      <w:pPr>
        <w:pStyle w:val="TextBody"/>
        <w:bidi w:val="0"/>
        <w:spacing w:lineRule="auto" w:line="319" w:before="200" w:after="283"/>
        <w:jc w:val="both"/>
        <w:rPr>
          <w:rFonts w:ascii="Times New Roman;sans-serif" w:hAnsi="Times New Roman;sans-serif"/>
          <w:b/>
          <w:color w:val="FF0000"/>
          <w:sz w:val="20"/>
        </w:rPr>
      </w:pPr>
      <w:r>
        <w:rPr>
          <w:rFonts w:ascii="Times New Roman;sans-serif" w:hAnsi="Times New Roman;sans-serif"/>
          <w:b/>
          <w:color w:val="FF0000"/>
          <w:sz w:val="20"/>
        </w:rPr>
        <w:t>WHO CAN ENTER INTO A 10B5-1 PLAN</w:t>
      </w:r>
    </w:p>
    <w:p>
      <w:pPr>
        <w:pStyle w:val="TextBody"/>
        <w:bidi w:val="0"/>
        <w:spacing w:lineRule="auto" w:line="319" w:before="200" w:after="283"/>
        <w:jc w:val="both"/>
        <w:rPr/>
      </w:pPr>
      <w:r>
        <w:rPr>
          <w:rFonts w:ascii="Times New Roman;sans-serif" w:hAnsi="Times New Roman;sans-serif"/>
          <w:b w:val="false"/>
          <w:color w:val="000000"/>
          <w:sz w:val="20"/>
        </w:rPr>
        <w:t xml:space="preserve">Because Section 16 Officers are more likely than other Insiders to have access to MNPI, Section 16 Officers are required to trade pursuant to a 10b5-1 Plan. Any Insider can enter into a 10b5-1 plan, though it may not be warranted or necessary; please email </w:t>
      </w:r>
      <w:r>
        <w:rPr>
          <w:rFonts w:ascii="Times New Roman;sans-serif" w:hAnsi="Times New Roman;sans-serif"/>
          <w:b w:val="false"/>
          <w:color w:val="1155CC"/>
          <w:sz w:val="20"/>
          <w:u w:val="single"/>
        </w:rPr>
        <w:t>corporatesecretarysoffice@buzzfeed.com</w:t>
      </w:r>
      <w:r>
        <w:rPr>
          <w:color w:val="000000"/>
        </w:rPr>
        <w:t xml:space="preserve"> </w:t>
      </w:r>
      <w:r>
        <w:rPr>
          <w:rFonts w:ascii="Times New Roman;sans-serif" w:hAnsi="Times New Roman;sans-serif"/>
          <w:b w:val="false"/>
          <w:color w:val="000000"/>
          <w:sz w:val="20"/>
        </w:rPr>
        <w:t>if you have questions about whether a 10b5-1 Plan is right for you.</w:t>
      </w:r>
    </w:p>
    <w:p>
      <w:pPr>
        <w:pStyle w:val="TextBody"/>
        <w:bidi w:val="0"/>
        <w:spacing w:lineRule="auto" w:line="319" w:before="200" w:after="283"/>
        <w:jc w:val="both"/>
        <w:rPr>
          <w:rFonts w:ascii="Times New Roman;sans-serif" w:hAnsi="Times New Roman;sans-serif"/>
          <w:b/>
          <w:color w:val="FF0000"/>
          <w:sz w:val="20"/>
        </w:rPr>
      </w:pPr>
      <w:r>
        <w:rPr>
          <w:rFonts w:ascii="Times New Roman;sans-serif" w:hAnsi="Times New Roman;sans-serif"/>
          <w:b/>
          <w:color w:val="FF0000"/>
          <w:sz w:val="20"/>
        </w:rPr>
        <w:t>HOW DO I ADOPT OR MODIFY A 10B5-1 PLAN</w:t>
      </w:r>
    </w:p>
    <w:p>
      <w:pPr>
        <w:pStyle w:val="TextBody"/>
        <w:bidi w:val="0"/>
        <w:spacing w:lineRule="auto" w:line="319" w:before="200" w:after="283"/>
        <w:jc w:val="both"/>
        <w:rPr/>
      </w:pPr>
      <w:r>
        <w:rPr>
          <w:rFonts w:ascii="Times New Roman;sans-serif" w:hAnsi="Times New Roman;sans-serif"/>
          <w:b w:val="false"/>
          <w:color w:val="000000"/>
          <w:sz w:val="20"/>
        </w:rPr>
        <w:t xml:space="preserve">10b5-1 Plans must be approved by our Chief Legal Officer (or in the case of the Chief Legal Officer, the Chief Financial Officer). If you are interested in adopting a 10b5-1 Plan, or modifying an existing 10b5-1 Plan, you should email </w:t>
      </w:r>
      <w:r>
        <w:rPr>
          <w:rFonts w:ascii="Times New Roman;sans-serif" w:hAnsi="Times New Roman;sans-serif"/>
          <w:b w:val="false"/>
          <w:color w:val="1155CC"/>
          <w:sz w:val="20"/>
          <w:u w:val="single"/>
        </w:rPr>
        <w:t>corporatesecretarysoffice@buzzfeed.com</w:t>
      </w:r>
      <w:r>
        <w:rPr>
          <w:rFonts w:ascii="Times New Roman;sans-serif" w:hAnsi="Times New Roman;sans-serif"/>
          <w:b w:val="false"/>
          <w:color w:val="000000"/>
          <w:sz w:val="20"/>
        </w:rPr>
        <w:t xml:space="preserve">; you will engage in a review process with the our Chief Legal Officer to ensure that: </w:t>
      </w:r>
    </w:p>
    <w:p>
      <w:pPr>
        <w:pStyle w:val="TextBody"/>
        <w:bidi w:val="0"/>
        <w:spacing w:lineRule="auto" w:line="319" w:before="200" w:after="283"/>
        <w:ind w:left="0" w:right="0" w:hanging="720"/>
        <w:jc w:val="both"/>
        <w:rPr/>
      </w:pPr>
      <w:r>
        <w:rPr>
          <w:color w:val="FF0000"/>
        </w:rPr>
        <w:t>●</w:t>
      </w:r>
      <w:r>
        <w:rPr>
          <w:rFonts w:ascii="Times New Roman;sans-serif" w:hAnsi="Times New Roman;sans-serif"/>
          <w:b w:val="false"/>
          <w:color w:val="000000"/>
          <w:sz w:val="20"/>
        </w:rPr>
        <w:t xml:space="preserve">The 10b5-1 Plan complies with the requirements of Rule 10b5-1 under the Securities Exchange Act of 1934, as amended, this Policy and the Securities Trading Policy. </w:t>
      </w:r>
    </w:p>
    <w:p>
      <w:pPr>
        <w:pStyle w:val="TextBody"/>
        <w:bidi w:val="0"/>
        <w:spacing w:lineRule="auto" w:line="319" w:before="200" w:after="283"/>
        <w:ind w:left="0" w:right="0" w:hanging="720"/>
        <w:jc w:val="both"/>
        <w:rPr/>
      </w:pPr>
      <w:r>
        <w:rPr>
          <w:color w:val="FF0000"/>
        </w:rPr>
        <w:t>●</w:t>
      </w:r>
      <w:r>
        <w:rPr>
          <w:rFonts w:ascii="Times New Roman;sans-serif" w:hAnsi="Times New Roman;sans-serif"/>
          <w:b w:val="false"/>
          <w:color w:val="000000"/>
          <w:sz w:val="20"/>
        </w:rPr>
        <w:t xml:space="preserve">You have certified to our Chief Legal Officer, in writing, no earlier than two business days prior to the date that the 10b5-1 Plan is formally adopted or modified, that (1) you are not in possession of MNPI, (2) all trades to be made pursuant to the 10b5-1 Plan will be in accordance with applicable SEC rules, (3) you are adopting or modifying the plan in good faith and not as part of a scheme to evade securities laws, and (4) the 10b5-1 Plan complies with the requirements of Rule 10b5-1. This certification may be made in an email to our Chief Legal Officer. </w:t>
      </w:r>
    </w:p>
    <w:p>
      <w:pPr>
        <w:pStyle w:val="TextBody"/>
        <w:bidi w:val="0"/>
        <w:spacing w:lineRule="auto" w:line="319" w:before="200" w:after="283"/>
        <w:ind w:left="0" w:right="0" w:hanging="720"/>
        <w:jc w:val="both"/>
        <w:rPr/>
      </w:pPr>
      <w:r>
        <w:rPr>
          <w:color w:val="FF0000"/>
        </w:rPr>
        <w:t>●</w:t>
      </w:r>
      <w:r>
        <w:rPr>
          <w:rFonts w:ascii="Times New Roman;sans-serif" w:hAnsi="Times New Roman;sans-serif"/>
          <w:b w:val="false"/>
          <w:color w:val="000000"/>
          <w:sz w:val="20"/>
        </w:rPr>
        <w:t xml:space="preserve">The first trade under the 10b5-1 Plan as adopted or modified must incorporate a “cooling off” period as follows: </w:t>
      </w:r>
    </w:p>
    <w:p>
      <w:pPr>
        <w:pStyle w:val="TextBody"/>
        <w:bidi w:val="0"/>
        <w:spacing w:lineRule="auto" w:line="319"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Directors and Section 16 Officers adopting or modifying a plan, trading cannot begin until the later of (1) 90 days after plan adoption or modification; or (2) two business days following disclosure of the issued financial results for the fiscal quarter (via 10-Q or 10-K or 20-F) in which the 10b5-1 Plan was adopted or modified (but not to exceed 120 days in any case).</w:t>
      </w:r>
    </w:p>
    <w:p>
      <w:pPr>
        <w:pStyle w:val="TextBody"/>
        <w:bidi w:val="0"/>
        <w:spacing w:lineRule="auto" w:line="319"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other Insiders, trading cannot begin until 30 days after adoption or modification.</w:t>
      </w:r>
    </w:p>
    <w:p>
      <w:pPr>
        <w:pStyle w:val="TextBody"/>
        <w:bidi w:val="0"/>
        <w:spacing w:lineRule="auto" w:line="319" w:before="200" w:after="283"/>
        <w:ind w:left="0" w:right="0" w:hanging="720"/>
        <w:jc w:val="both"/>
        <w:rPr/>
      </w:pPr>
      <w:r>
        <w:rPr>
          <w:color w:val="FF0000"/>
        </w:rPr>
        <w:t>●</w:t>
      </w:r>
      <w:r>
        <w:rPr>
          <w:rFonts w:ascii="Times New Roman;sans-serif" w:hAnsi="Times New Roman;sans-serif"/>
          <w:b w:val="false"/>
          <w:color w:val="000000"/>
          <w:sz w:val="20"/>
        </w:rPr>
        <w:t>You do not have more than one overlapping 10b5-1 Plan adopted at any point in time.</w:t>
        <w:br/>
        <w:br/>
      </w:r>
      <w:r>
        <w:rPr>
          <w:rFonts w:ascii="Times New Roman;sans-serif" w:hAnsi="Times New Roman;sans-serif"/>
          <w:b w:val="false"/>
          <w:i/>
          <w:color w:val="000000"/>
          <w:sz w:val="20"/>
        </w:rPr>
        <w:t>Exception:</w:t>
      </w:r>
      <w:r>
        <w:rPr>
          <w:color w:val="000000"/>
        </w:rPr>
        <w:t xml:space="preserve"> </w:t>
      </w:r>
      <w:r>
        <w:rPr>
          <w:rFonts w:ascii="Times New Roman;sans-serif" w:hAnsi="Times New Roman;sans-serif"/>
          <w:b w:val="false"/>
          <w:color w:val="000000"/>
          <w:sz w:val="20"/>
        </w:rPr>
        <w:t xml:space="preserve">plans authorizing an agent to sell only enough securities as are necessary to satisfy tax </w:t>
      </w: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19.1.2</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1"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10B5-1 PLAN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3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10B5-1 PLAN        1</w:t>
                      </w:r>
                    </w:p>
                  </w:txbxContent>
                </v:textbox>
                <w10:wrap type="none"/>
              </v:rect>
            </w:pict>
          </mc:Fallback>
        </mc:AlternateContent>
      </w:r>
    </w:p>
    <w:p>
      <w:pPr>
        <w:pStyle w:val="TextBody"/>
        <w:bidi w:val="0"/>
        <w:spacing w:lineRule="auto" w:line="319"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withholding obligations arising exclusively from the vesting of a compensatory award (“sell-to-cover” 10b5-1 Plans), provided you are not permitted to exercise control over the timing of such sales.</w:t>
      </w:r>
    </w:p>
    <w:p>
      <w:pPr>
        <w:pStyle w:val="TextBody"/>
        <w:bidi w:val="0"/>
        <w:spacing w:lineRule="auto" w:line="319" w:before="200" w:after="283"/>
        <w:ind w:left="0" w:right="0" w:hanging="720"/>
        <w:jc w:val="both"/>
        <w:rPr/>
      </w:pPr>
      <w:r>
        <w:rPr>
          <w:color w:val="FF0000"/>
        </w:rPr>
        <w:t>●</w:t>
      </w:r>
      <w:r>
        <w:rPr>
          <w:rFonts w:ascii="Times New Roman;sans-serif" w:hAnsi="Times New Roman;sans-serif"/>
          <w:b w:val="false"/>
          <w:color w:val="000000"/>
          <w:sz w:val="20"/>
        </w:rPr>
        <w:t>You do not have more than one single-trade plan in a consecutive 12-month period.</w:t>
      </w:r>
    </w:p>
    <w:p>
      <w:pPr>
        <w:pStyle w:val="TextBody"/>
        <w:bidi w:val="0"/>
        <w:spacing w:lineRule="auto" w:line="319" w:before="200" w:after="283"/>
        <w:jc w:val="both"/>
        <w:rPr/>
      </w:pPr>
      <w:r>
        <w:rPr>
          <w:rFonts w:ascii="Times New Roman;sans-serif" w:hAnsi="Times New Roman;sans-serif"/>
          <w:b w:val="false"/>
          <w:i/>
          <w:color w:val="000000"/>
          <w:sz w:val="20"/>
        </w:rPr>
        <w:t>Exception:</w:t>
      </w:r>
      <w:r>
        <w:rPr>
          <w:color w:val="000000"/>
        </w:rPr>
        <w:t xml:space="preserve"> “</w:t>
      </w:r>
      <w:r>
        <w:rPr>
          <w:rFonts w:ascii="Times New Roman;sans-serif" w:hAnsi="Times New Roman;sans-serif"/>
          <w:b w:val="false"/>
          <w:color w:val="000000"/>
          <w:sz w:val="20"/>
        </w:rPr>
        <w:t>sell-to-cover” 10b5-1 Plans, provided you are not permitted to exercise control over the timing of such sales.</w:t>
      </w:r>
    </w:p>
    <w:p>
      <w:pPr>
        <w:pStyle w:val="TextBody"/>
        <w:bidi w:val="0"/>
        <w:spacing w:lineRule="auto" w:line="319" w:before="200" w:after="283"/>
        <w:ind w:left="0" w:right="0" w:hanging="720"/>
        <w:jc w:val="both"/>
        <w:rPr/>
      </w:pPr>
      <w:r>
        <w:rPr>
          <w:color w:val="FF0000"/>
        </w:rPr>
        <w:t>●</w:t>
      </w:r>
      <w:r>
        <w:rPr>
          <w:rFonts w:ascii="Times New Roman;sans-serif" w:hAnsi="Times New Roman;sans-serif"/>
          <w:b w:val="false"/>
          <w:color w:val="000000"/>
          <w:sz w:val="20"/>
        </w:rPr>
        <w:t>The 10b5-1 Plan is adopted during a Trading Window and not during any Blackout Period.</w:t>
      </w:r>
    </w:p>
    <w:p>
      <w:pPr>
        <w:pStyle w:val="TextBody"/>
        <w:bidi w:val="0"/>
        <w:spacing w:lineRule="auto" w:line="319"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of a 10b5-1 Plan by our Chief Legal Officer shall not be considered a determination by us or our Chief Legal Officer that the 10b5-1 Plan satisfies the requirements of Rule 10b5-1. </w:t>
      </w:r>
    </w:p>
    <w:p>
      <w:pPr>
        <w:pStyle w:val="TextBody"/>
        <w:bidi w:val="0"/>
        <w:spacing w:lineRule="auto" w:line="319" w:before="200" w:after="283"/>
        <w:jc w:val="both"/>
        <w:rPr>
          <w:rFonts w:ascii="Times New Roman;sans-serif" w:hAnsi="Times New Roman;sans-serif"/>
          <w:b/>
          <w:color w:val="FF0000"/>
          <w:sz w:val="20"/>
        </w:rPr>
      </w:pPr>
      <w:r>
        <w:rPr>
          <w:rFonts w:ascii="Times New Roman;sans-serif" w:hAnsi="Times New Roman;sans-serif"/>
          <w:b/>
          <w:color w:val="FF0000"/>
          <w:sz w:val="20"/>
        </w:rPr>
        <w:t>HOW DO I MODIFY OR CANCEL A 10B5-1 PLAN</w:t>
      </w:r>
    </w:p>
    <w:p>
      <w:pPr>
        <w:pStyle w:val="TextBody"/>
        <w:bidi w:val="0"/>
        <w:spacing w:lineRule="auto" w:line="319"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SEC views the modification of a 10b5-1 Plan to be the same as terminating an existing 10b5-1 Plan and entering into a new 10b5-1 Plan, the approval process for modifying or canceling a 10b5-1 Plan are similar to those for initially adopting the plan. Once you have an approved 10b5-1 Plan in place, you will need approval from our Chief Legal Officer if you want to make any changes to or cancel it. </w:t>
      </w:r>
    </w:p>
    <w:p>
      <w:pPr>
        <w:pStyle w:val="TextBody"/>
        <w:bidi w:val="0"/>
        <w:spacing w:lineRule="auto" w:line="319"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making frequent changes to a 10b5-1 Plan may give the appearance that you are trading on MNPI under the guise of that Plan, modifications to, or cancellations of, a 10b5-1 Plan can only be made during a Trading Window (not during any Blackout Period) and when you are not in possession of MNPI. </w:t>
      </w:r>
    </w:p>
    <w:p>
      <w:pPr>
        <w:pStyle w:val="TextBody"/>
        <w:bidi w:val="0"/>
        <w:spacing w:before="20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80" w:after="283"/>
        <w:jc w:val="right"/>
        <w:rPr>
          <w:rFonts w:ascii="Times New Roman;sans-serif" w:hAnsi="Times New Roman;sans-serif"/>
          <w:b/>
          <w:color w:val="000000"/>
          <w:sz w:val="22"/>
        </w:rPr>
      </w:pPr>
      <w:r>
        <w:rPr>
          <w:rFonts w:ascii="Times New Roman;sans-serif" w:hAnsi="Times New Roman;sans-serif"/>
          <w:b/>
          <w:color w:val="000000"/>
          <w:sz w:val="22"/>
        </w:rPr>
        <w:t>Exhibit 21.1</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2"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10B5-1 PLAN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10B5-1 PLAN        2</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SUBSIDIARIES OF BUZZFEED, INC.</w:t>
      </w:r>
    </w:p>
    <w:tbl>
      <w:tblPr>
        <w:tblW w:w="9238" w:type="dxa"/>
        <w:jc w:val="left"/>
        <w:tblInd w:w="0" w:type="dxa"/>
        <w:tblLayout w:type="fixed"/>
        <w:tblCellMar>
          <w:top w:w="28" w:type="dxa"/>
          <w:left w:w="28" w:type="dxa"/>
          <w:bottom w:w="28" w:type="dxa"/>
          <w:right w:w="28" w:type="dxa"/>
        </w:tblCellMar>
      </w:tblPr>
      <w:tblGrid>
        <w:gridCol w:w="1983"/>
        <w:gridCol w:w="1741"/>
        <w:gridCol w:w="1750"/>
        <w:gridCol w:w="1102"/>
        <w:gridCol w:w="1102"/>
        <w:gridCol w:w="1560"/>
      </w:tblGrid>
      <w:tr>
        <w:trPr/>
        <w:tc>
          <w:tcPr>
            <w:tcW w:w="198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2"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7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102" w:after="283"/>
              <w:jc w:val="left"/>
              <w:rPr>
                <w:rFonts w:ascii="Times New Roman;sans-serif" w:hAnsi="Times New Roman;sans-serif"/>
                <w:b/>
                <w:color w:val="000000"/>
                <w:sz w:val="20"/>
              </w:rPr>
            </w:pPr>
            <w:r>
              <w:rPr>
                <w:rFonts w:ascii="Times New Roman;sans-serif" w:hAnsi="Times New Roman;sans-serif"/>
                <w:b/>
                <w:color w:val="000000"/>
                <w:sz w:val="20"/>
              </w:rPr>
              <w:t>Jurisdiction of Formation or Organization</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 Acquisition Holding Corp.</w:t>
            </w:r>
          </w:p>
          <w:p>
            <w:pPr>
              <w:pStyle w:val="TableContents"/>
              <w:bidi w:val="0"/>
              <w:spacing w:before="1" w:after="283"/>
              <w:jc w:val="left"/>
              <w:rPr/>
            </w:pPr>
            <w:r>
              <w:rPr/>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Canada, Inc.</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FC, Inc.</w:t>
            </w:r>
          </w:p>
          <w:p>
            <w:pPr>
              <w:pStyle w:val="TableContents"/>
              <w:bidi w:val="0"/>
              <w:spacing w:before="1" w:after="283"/>
              <w:jc w:val="left"/>
              <w:rPr/>
            </w:pPr>
            <w:r>
              <w:rPr/>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Germany GmbH</w:t>
            </w:r>
          </w:p>
          <w:p>
            <w:pPr>
              <w:pStyle w:val="TableContents"/>
              <w:bidi w:val="0"/>
              <w:spacing w:before="1" w:after="283"/>
              <w:jc w:val="left"/>
              <w:rPr/>
            </w:pPr>
            <w:r>
              <w:rPr/>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Holdings, LLC</w:t>
            </w:r>
          </w:p>
          <w:p>
            <w:pPr>
              <w:pStyle w:val="TableContents"/>
              <w:bidi w:val="0"/>
              <w:spacing w:before="1" w:after="283"/>
              <w:jc w:val="left"/>
              <w:rPr/>
            </w:pPr>
            <w:r>
              <w:rPr/>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India Pvt. Ltd.</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Media Enterprises, Inc.</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Motion Pictures, Inc.</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Pty. Ltd.</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Spain S.L.U.</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Studios Canada, Inc.</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UK Ltd.</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BYJ KK</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 Partners, LLC</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Media, Inc.</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474" w:type="dxa"/>
            <w:gridSpan w:val="3"/>
            <w:tcBorders>
              <w:top w:val="single" w:sz="8" w:space="0" w:color="000000"/>
              <w:left w:val="single" w:sz="8" w:space="0" w:color="000000"/>
            </w:tcBorders>
            <w:tcMar>
              <w:top w:w="30" w:type="dxa"/>
              <w:left w:w="114"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Dear David Film Inc.</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Contents Online Mexico</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 Acquisition Sub, Inc.</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 Holdings Acquisition Corp.</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1"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Exmas Film Inc.</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1"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Fake BF Film, Inc.</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1" w:after="283"/>
              <w:jc w:val="left"/>
              <w:rPr>
                <w:rFonts w:ascii="Times New Roman;sans-serif" w:hAnsi="Times New Roman;sans-serif"/>
                <w:b w:val="false"/>
                <w:color w:val="000000"/>
                <w:sz w:val="20"/>
              </w:rPr>
            </w:pPr>
            <w:r>
              <w:rPr>
                <w:rFonts w:ascii="Times New Roman;sans-serif" w:hAnsi="Times New Roman;sans-serif"/>
                <w:b w:val="false"/>
                <w:color w:val="000000"/>
                <w:sz w:val="20"/>
              </w:rPr>
              <w:t>FMK Film Inc.</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5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Ganked Film, Inc.</w:t>
            </w:r>
          </w:p>
        </w:tc>
        <w:tc>
          <w:tcPr>
            <w:tcW w:w="3764"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5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101"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HuffPost Studios Canada, Inc. (f/k/a Compagnie HuffPost Canada)</w:t>
            </w:r>
          </w:p>
        </w:tc>
        <w:tc>
          <w:tcPr>
            <w:tcW w:w="3764" w:type="dxa"/>
            <w:gridSpan w:val="3"/>
            <w:tcBorders>
              <w:top w:val="single" w:sz="8" w:space="0" w:color="000000"/>
              <w:left w:val="single" w:sz="8" w:space="0" w:color="000000"/>
              <w:bottom w:val="single" w:sz="8" w:space="0" w:color="000000"/>
              <w:right w:val="single" w:sz="8" w:space="0" w:color="000000"/>
            </w:tcBorders>
            <w:tcMar>
              <w:top w:w="30" w:type="dxa"/>
              <w:left w:w="114"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bl>
    <w:p>
      <w:pPr>
        <w:pStyle w:val="TextBody"/>
        <w:bidi w:val="0"/>
        <w:spacing w:lineRule="auto" w:line="240" w:before="80" w:after="283"/>
        <w:jc w:val="right"/>
        <w:rPr>
          <w:rFonts w:ascii="Times New Roman;sans-serif" w:hAnsi="Times New Roman;sans-serif"/>
          <w:b/>
          <w:color w:val="000000"/>
          <w:sz w:val="22"/>
        </w:rPr>
      </w:pPr>
      <w:r>
        <w:rPr>
          <w:rFonts w:ascii="Times New Roman;sans-serif" w:hAnsi="Times New Roman;sans-serif"/>
          <w:b/>
          <w:color w:val="000000"/>
          <w:sz w:val="22"/>
        </w:rPr>
        <w:t>Exhibit 21.1</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SUBSIDIARIES OF BUZZFEED, INC.</w:t>
      </w:r>
    </w:p>
    <w:tbl>
      <w:tblPr>
        <w:tblW w:w="4785" w:type="dxa"/>
        <w:jc w:val="left"/>
        <w:tblInd w:w="0" w:type="dxa"/>
        <w:tblLayout w:type="fixed"/>
        <w:tblCellMar>
          <w:top w:w="28" w:type="dxa"/>
          <w:left w:w="28" w:type="dxa"/>
          <w:bottom w:w="28" w:type="dxa"/>
          <w:right w:w="28" w:type="dxa"/>
        </w:tblCellMar>
      </w:tblPr>
      <w:tblGrid>
        <w:gridCol w:w="1406"/>
        <w:gridCol w:w="1236"/>
        <w:gridCol w:w="1242"/>
        <w:gridCol w:w="263"/>
        <w:gridCol w:w="263"/>
        <w:gridCol w:w="375"/>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1"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HuffPost UK Limited</w:t>
            </w:r>
          </w:p>
        </w:tc>
        <w:tc>
          <w:tcPr>
            <w:tcW w:w="901"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Lexland Studios, Inc. (f/k/a BFMP Video, Inc.)</w:t>
            </w:r>
          </w:p>
        </w:tc>
        <w:tc>
          <w:tcPr>
            <w:tcW w:w="901"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5"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Northern Ontario Slate Films, Inc.</w:t>
            </w:r>
          </w:p>
        </w:tc>
        <w:tc>
          <w:tcPr>
            <w:tcW w:w="901"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1"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Labs, Inc.</w:t>
            </w:r>
          </w:p>
        </w:tc>
        <w:tc>
          <w:tcPr>
            <w:tcW w:w="901"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Puppyhood Film (BC), Inc.</w:t>
            </w:r>
          </w:p>
        </w:tc>
        <w:tc>
          <w:tcPr>
            <w:tcW w:w="901"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Puppyhood Film, Inc.</w:t>
            </w:r>
          </w:p>
        </w:tc>
        <w:tc>
          <w:tcPr>
            <w:tcW w:w="901"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1"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TheHuffingtonPost Holdings, LLC</w:t>
            </w:r>
          </w:p>
        </w:tc>
        <w:tc>
          <w:tcPr>
            <w:tcW w:w="901"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6"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TheHuffingtonPost.com, Inc.</w:t>
            </w:r>
          </w:p>
        </w:tc>
        <w:tc>
          <w:tcPr>
            <w:tcW w:w="901" w:type="dxa"/>
            <w:gridSpan w:val="3"/>
            <w:tcBorders>
              <w:top w:val="single" w:sz="8" w:space="0" w:color="000000"/>
              <w:left w:val="single" w:sz="8" w:space="0" w:color="000000"/>
              <w:right w:val="single" w:sz="8" w:space="0" w:color="000000"/>
            </w:tcBorders>
            <w:tcMar>
              <w:top w:w="30" w:type="dxa"/>
              <w:left w:w="114"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1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Torando Labs, Inc.</w:t>
            </w:r>
          </w:p>
        </w:tc>
        <w:tc>
          <w:tcPr>
            <w:tcW w:w="901" w:type="dxa"/>
            <w:gridSpan w:val="3"/>
            <w:tcBorders>
              <w:top w:val="single" w:sz="8" w:space="0" w:color="000000"/>
              <w:left w:val="single" w:sz="8" w:space="0" w:color="000000"/>
              <w:bottom w:val="single" w:sz="8" w:space="0" w:color="000000"/>
              <w:right w:val="single" w:sz="8" w:space="0" w:color="000000"/>
            </w:tcBorders>
            <w:tcMar>
              <w:top w:w="30" w:type="dxa"/>
              <w:left w:w="114"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23.1</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Verdana;sans-serif" w:hAnsi="Verdana;sans-serif"/>
          <w:b/>
          <w:color w:val="000000"/>
          <w:sz w:val="18"/>
        </w:rPr>
      </w:pPr>
      <w:r>
        <w:rPr>
          <w:rFonts w:ascii="Verdana;sans-serif" w:hAnsi="Verdana;sans-serif"/>
          <w:b/>
          <w:color w:val="000000"/>
          <w:sz w:val="18"/>
        </w:rPr>
        <w:t>CONSENT OF INDEPENDENT REGISTERED PUBLIC ACCOUNTING FIRM</w:t>
      </w:r>
    </w:p>
    <w:p>
      <w:pPr>
        <w:pStyle w:val="TextBody"/>
        <w:bidi w:val="0"/>
        <w:spacing w:lineRule="auto" w:line="309" w:before="200" w:after="200"/>
        <w:jc w:val="left"/>
        <w:rPr>
          <w:rFonts w:ascii="Verdana;sans-serif" w:hAnsi="Verdana;sans-serif"/>
          <w:b w:val="false"/>
          <w:color w:val="000000"/>
          <w:sz w:val="18"/>
        </w:rPr>
      </w:pPr>
      <w:r>
        <w:rPr>
          <w:rFonts w:ascii="Verdana;sans-serif" w:hAnsi="Verdana;sans-serif"/>
          <w:b w:val="false"/>
          <w:color w:val="000000"/>
          <w:sz w:val="18"/>
        </w:rPr>
        <w:t>We consent to the incorporation by reference in Registration Statement Nos. 333-262105 and 333-270729 on Form S-3 and Registration Statement Nos. 333-262582 and 333-270730 on Form S-8 of our report dated March 29, 2024, relating to the financial statements of BuzzFeed, Inc. appearing in this Annual Report on Form 10-K for the year ended December 31, 2023.</w:t>
      </w:r>
    </w:p>
    <w:p>
      <w:pPr>
        <w:pStyle w:val="TextBody"/>
        <w:bidi w:val="0"/>
        <w:spacing w:lineRule="auto" w:line="240" w:before="0" w:after="0"/>
        <w:jc w:val="left"/>
        <w:rPr>
          <w:rFonts w:ascii="Verdana;sans-serif" w:hAnsi="Verdana;sans-serif"/>
          <w:b w:val="false"/>
          <w:color w:val="000000"/>
          <w:sz w:val="18"/>
        </w:rPr>
      </w:pPr>
      <w:r>
        <w:rPr>
          <w:rFonts w:ascii="Verdana;sans-serif" w:hAnsi="Verdana;sans-serif"/>
          <w:b w:val="false"/>
          <w:color w:val="000000"/>
          <w:sz w:val="18"/>
        </w:rPr>
        <w:t>/s/ Deloitte &amp; Touche LLP</w:t>
      </w:r>
    </w:p>
    <w:p>
      <w:pPr>
        <w:pStyle w:val="TextBody"/>
        <w:bidi w:val="0"/>
        <w:spacing w:before="0" w:after="0"/>
        <w:jc w:val="left"/>
        <w:rPr/>
      </w:pPr>
      <w:r>
        <w:rPr/>
      </w:r>
    </w:p>
    <w:p>
      <w:pPr>
        <w:pStyle w:val="TextBody"/>
        <w:bidi w:val="0"/>
        <w:spacing w:lineRule="auto" w:line="240" w:before="0" w:after="0"/>
        <w:jc w:val="left"/>
        <w:rPr>
          <w:rFonts w:ascii="Verdana;sans-serif" w:hAnsi="Verdana;sans-serif"/>
          <w:b w:val="false"/>
          <w:color w:val="000000"/>
          <w:sz w:val="18"/>
        </w:rPr>
      </w:pPr>
      <w:r>
        <w:rPr>
          <w:rFonts w:ascii="Verdana;sans-serif" w:hAnsi="Verdana;sans-serif"/>
          <w:b w:val="false"/>
          <w:color w:val="000000"/>
          <w:sz w:val="18"/>
        </w:rPr>
        <w:t>New York, New York</w:t>
      </w:r>
    </w:p>
    <w:p>
      <w:pPr>
        <w:pStyle w:val="TextBody"/>
        <w:bidi w:val="0"/>
        <w:spacing w:lineRule="auto" w:line="240" w:before="0" w:after="0"/>
        <w:jc w:val="left"/>
        <w:rPr>
          <w:rFonts w:ascii="Verdana;sans-serif" w:hAnsi="Verdana;sans-serif"/>
          <w:b w:val="false"/>
          <w:color w:val="000000"/>
          <w:sz w:val="18"/>
        </w:rPr>
      </w:pPr>
      <w:r>
        <w:rPr>
          <w:rFonts w:ascii="Verdana;sans-serif" w:hAnsi="Verdana;sans-serif"/>
          <w:b w:val="false"/>
          <w:color w:val="000000"/>
          <w:sz w:val="18"/>
        </w:rPr>
        <w:t>March 29,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 OR 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Jonah Peretti,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BuzzFeed, Inc. (“the registrant”);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15a-15(f))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768" w:type="dxa"/>
        <w:jc w:val="left"/>
        <w:tblInd w:w="0" w:type="dxa"/>
        <w:tblLayout w:type="fixed"/>
        <w:tblCellMar>
          <w:top w:w="28" w:type="dxa"/>
          <w:left w:w="28" w:type="dxa"/>
          <w:bottom w:w="28" w:type="dxa"/>
          <w:right w:w="28" w:type="dxa"/>
        </w:tblCellMar>
      </w:tblPr>
      <w:tblGrid>
        <w:gridCol w:w="350"/>
        <w:gridCol w:w="308"/>
        <w:gridCol w:w="308"/>
        <w:gridCol w:w="810"/>
        <w:gridCol w:w="810"/>
        <w:gridCol w:w="810"/>
        <w:gridCol w:w="109"/>
        <w:gridCol w:w="109"/>
        <w:gridCol w:w="154"/>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29,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7"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 OR 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Matt Omer,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BuzzFeed, Inc. (the “registrant”);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15a-15(f))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708" w:type="dxa"/>
        <w:jc w:val="left"/>
        <w:tblInd w:w="0" w:type="dxa"/>
        <w:tblLayout w:type="fixed"/>
        <w:tblCellMar>
          <w:top w:w="28" w:type="dxa"/>
          <w:left w:w="28" w:type="dxa"/>
          <w:bottom w:w="28" w:type="dxa"/>
          <w:right w:w="28" w:type="dxa"/>
        </w:tblCellMar>
      </w:tblPr>
      <w:tblGrid>
        <w:gridCol w:w="350"/>
        <w:gridCol w:w="308"/>
        <w:gridCol w:w="308"/>
        <w:gridCol w:w="790"/>
        <w:gridCol w:w="790"/>
        <w:gridCol w:w="790"/>
        <w:gridCol w:w="109"/>
        <w:gridCol w:w="109"/>
        <w:gridCol w:w="154"/>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29,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9"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CERTIFICATION OF PRINCIPAL EXECUTIVE OFFICER PURSUANT TO</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 AS ADOPTED PURSUANT TO</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Jonah Peretti, Chief Executive Officer of BuzzFeed,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of the Company for the fiscal year ended December 31, 2023 (the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768" w:type="dxa"/>
        <w:jc w:val="left"/>
        <w:tblInd w:w="0" w:type="dxa"/>
        <w:tblLayout w:type="fixed"/>
        <w:tblCellMar>
          <w:top w:w="28" w:type="dxa"/>
          <w:left w:w="28" w:type="dxa"/>
          <w:bottom w:w="28" w:type="dxa"/>
          <w:right w:w="28" w:type="dxa"/>
        </w:tblCellMar>
      </w:tblPr>
      <w:tblGrid>
        <w:gridCol w:w="350"/>
        <w:gridCol w:w="308"/>
        <w:gridCol w:w="308"/>
        <w:gridCol w:w="810"/>
        <w:gridCol w:w="810"/>
        <w:gridCol w:w="810"/>
        <w:gridCol w:w="109"/>
        <w:gridCol w:w="109"/>
        <w:gridCol w:w="154"/>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29,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Matt Omer, Chief Financial Officer of BuzzFeed,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of the Company for the fiscal year ended December 31, 2023 (the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708" w:type="dxa"/>
        <w:jc w:val="left"/>
        <w:tblInd w:w="0" w:type="dxa"/>
        <w:tblLayout w:type="fixed"/>
        <w:tblCellMar>
          <w:top w:w="28" w:type="dxa"/>
          <w:left w:w="28" w:type="dxa"/>
          <w:bottom w:w="28" w:type="dxa"/>
          <w:right w:w="28" w:type="dxa"/>
        </w:tblCellMar>
      </w:tblPr>
      <w:tblGrid>
        <w:gridCol w:w="350"/>
        <w:gridCol w:w="308"/>
        <w:gridCol w:w="308"/>
        <w:gridCol w:w="790"/>
        <w:gridCol w:w="790"/>
        <w:gridCol w:w="790"/>
        <w:gridCol w:w="109"/>
        <w:gridCol w:w="109"/>
        <w:gridCol w:w="154"/>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29,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63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630"/>
        <w:jc w:val="left"/>
        <w:rPr/>
      </w:pPr>
      <w:r>
        <w:rPr/>
      </w:r>
    </w:p>
    <w:p>
      <w:pPr>
        <w:pStyle w:val="TextBody"/>
        <w:bidi w:val="0"/>
        <w:spacing w:lineRule="auto" w:line="240" w:before="0" w:after="0"/>
        <w:ind w:left="0" w:right="0" w:hanging="630"/>
        <w:jc w:val="right"/>
        <w:rPr>
          <w:rFonts w:ascii="Times New Roman;sans-serif" w:hAnsi="Times New Roman;sans-serif"/>
          <w:b/>
          <w:i/>
          <w:color w:val="000000"/>
          <w:sz w:val="20"/>
        </w:rPr>
      </w:pPr>
      <w:r>
        <w:rPr>
          <w:rFonts w:ascii="Times New Roman;sans-serif" w:hAnsi="Times New Roman;sans-serif"/>
          <w:b/>
          <w:i/>
          <w:color w:val="000000"/>
          <w:sz w:val="20"/>
        </w:rPr>
        <w:t>Exhibit 97.1</w:t>
      </w:r>
    </w:p>
    <w:p>
      <w:pPr>
        <w:pStyle w:val="TextBody"/>
        <w:bidi w:val="0"/>
        <w:spacing w:before="0" w:after="0"/>
        <w:ind w:left="0" w:right="0" w:hanging="630"/>
        <w:jc w:val="left"/>
        <w:rPr/>
      </w:pPr>
      <w:r>
        <w:rPr/>
      </w:r>
    </w:p>
    <w:p>
      <w:pPr>
        <w:pStyle w:val="TextBody"/>
        <w:bidi w:val="0"/>
        <w:spacing w:before="0" w:after="0"/>
        <w:ind w:left="0" w:right="0" w:hanging="630"/>
        <w:jc w:val="center"/>
        <w:rPr/>
      </w:pPr>
      <w:r>
        <w:rPr/>
      </w:r>
    </w:p>
    <w:p>
      <w:pPr>
        <w:pStyle w:val="TextBody"/>
        <w:bidi w:val="0"/>
        <w:spacing w:before="2" w:after="283"/>
        <w:jc w:val="left"/>
        <w:rPr/>
      </w:pPr>
      <w:r>
        <w:rPr/>
      </w:r>
    </w:p>
    <w:p>
      <w:pPr>
        <w:pStyle w:val="TextBody"/>
        <w:bidi w:val="0"/>
        <w:spacing w:lineRule="auto" w:line="240" w:before="0" w:after="0"/>
        <w:jc w:val="center"/>
        <w:rPr>
          <w:rFonts w:ascii="Times New Roman;sans-serif" w:hAnsi="Times New Roman;sans-serif"/>
          <w:b w:val="false"/>
          <w:color w:val="000000"/>
          <w:sz w:val="30"/>
        </w:rPr>
      </w:pPr>
      <w:r>
        <w:rPr>
          <w:rFonts w:ascii="Times New Roman;sans-serif" w:hAnsi="Times New Roman;sans-serif"/>
          <w:b w:val="false"/>
          <w:color w:val="000000"/>
          <w:sz w:val="30"/>
        </w:rPr>
        <w:t>POLICY FOR THE</w:t>
      </w:r>
    </w:p>
    <w:p>
      <w:pPr>
        <w:pStyle w:val="TextBody"/>
        <w:bidi w:val="0"/>
        <w:spacing w:lineRule="auto" w:line="240" w:before="0" w:after="0"/>
        <w:jc w:val="center"/>
        <w:rPr>
          <w:rFonts w:ascii="Times New Roman;sans-serif" w:hAnsi="Times New Roman;sans-serif"/>
          <w:b w:val="false"/>
          <w:color w:val="000000"/>
          <w:sz w:val="30"/>
        </w:rPr>
      </w:pPr>
      <w:r>
        <w:rPr>
          <w:rFonts w:ascii="Times New Roman;sans-serif" w:hAnsi="Times New Roman;sans-serif"/>
          <w:b w:val="false"/>
          <w:color w:val="000000"/>
          <w:sz w:val="30"/>
        </w:rPr>
        <w:t>RECOVERY OF ERRONEOUSLY AWARDED COMPENSATION</w:t>
      </w:r>
    </w:p>
    <w:p>
      <w:pPr>
        <w:pStyle w:val="TextBody"/>
        <w:bidi w:val="0"/>
        <w:spacing w:before="6" w:after="283"/>
        <w:jc w:val="left"/>
        <w:rPr/>
      </w:pPr>
      <w:r>
        <w:rPr/>
      </w:r>
    </w:p>
    <w:p>
      <w:pPr>
        <w:pStyle w:val="TextBody"/>
        <w:bidi w:val="0"/>
        <w:spacing w:lineRule="auto" w:line="240" w:before="93" w:after="283"/>
        <w:jc w:val="left"/>
        <w:rPr/>
      </w:pPr>
      <w:r>
        <w:rPr>
          <w:rFonts w:ascii="Arial;sans-serif" w:hAnsi="Arial;sans-serif"/>
          <w:b w:val="false"/>
          <w:color w:val="FF0000"/>
          <w:sz w:val="20"/>
        </w:rPr>
        <w:t>A.</w:t>
      </w:r>
      <w:r>
        <w:rPr>
          <w:rFonts w:ascii="Times New Roman;sans-serif" w:hAnsi="Times New Roman;sans-serif"/>
          <w:b/>
          <w:color w:val="FF0000"/>
          <w:sz w:val="24"/>
        </w:rPr>
        <w:t>OVERVIEW</w:t>
      </w:r>
    </w:p>
    <w:p>
      <w:pPr>
        <w:pStyle w:val="TextBody"/>
        <w:bidi w:val="0"/>
        <w:spacing w:before="8"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In accordance with the Listing Rule 5608 of The Nasdaq Stock Market (the “</w:t>
      </w:r>
      <w:r>
        <w:rPr>
          <w:rFonts w:ascii="Times New Roman;sans-serif" w:hAnsi="Times New Roman;sans-serif"/>
          <w:b/>
          <w:i/>
          <w:color w:val="000000"/>
          <w:sz w:val="24"/>
        </w:rPr>
        <w:t>Nasdaq Rules</w:t>
      </w:r>
      <w:r>
        <w:rPr>
          <w:color w:val="000000"/>
        </w:rPr>
        <w:t>”</w:t>
      </w:r>
      <w:r>
        <w:rPr>
          <w:rFonts w:ascii="Times New Roman;sans-serif" w:hAnsi="Times New Roman;sans-serif"/>
          <w:b w:val="false"/>
          <w:i/>
          <w:color w:val="000000"/>
          <w:sz w:val="24"/>
        </w:rPr>
        <w:t>)</w:t>
      </w:r>
      <w:r>
        <w:rPr>
          <w:rFonts w:ascii="Times New Roman;sans-serif" w:hAnsi="Times New Roman;sans-serif"/>
          <w:b w:val="false"/>
          <w:color w:val="000000"/>
          <w:sz w:val="24"/>
        </w:rPr>
        <w:t>, Section 10D and Rule 10D-1 of the Securities Exchange Act of 1934, as amended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of BuzzFeed,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to provide for the recovery of erroneously awarded Incentive-based Compensation from Executive Officers. All capitalized terms used and not otherwise defined herein shall have the meanings set forth in Section C, below.</w:t>
      </w:r>
    </w:p>
    <w:p>
      <w:pPr>
        <w:pStyle w:val="TextBody"/>
        <w:bidi w:val="0"/>
        <w:spacing w:before="10" w:after="283"/>
        <w:jc w:val="left"/>
        <w:rPr/>
      </w:pPr>
      <w:r>
        <w:rPr/>
      </w:r>
    </w:p>
    <w:p>
      <w:pPr>
        <w:pStyle w:val="TextBody"/>
        <w:bidi w:val="0"/>
        <w:spacing w:lineRule="auto" w:line="240" w:before="1" w:after="283"/>
        <w:jc w:val="left"/>
        <w:rPr/>
      </w:pPr>
      <w:r>
        <w:rPr>
          <w:rFonts w:ascii="Arial;sans-serif" w:hAnsi="Arial;sans-serif"/>
          <w:b w:val="false"/>
          <w:color w:val="FF0000"/>
          <w:sz w:val="20"/>
        </w:rPr>
        <w:t>B.</w:t>
      </w:r>
      <w:r>
        <w:rPr>
          <w:rFonts w:ascii="Times New Roman;sans-serif" w:hAnsi="Times New Roman;sans-serif"/>
          <w:b/>
          <w:color w:val="FF0000"/>
          <w:sz w:val="24"/>
        </w:rPr>
        <w:t>RECOVERY OF ERRONEOUSLY AWARDED COMPENSATION</w:t>
      </w:r>
    </w:p>
    <w:p>
      <w:pPr>
        <w:pStyle w:val="TextBody"/>
        <w:bidi w:val="0"/>
        <w:spacing w:before="10" w:after="283"/>
        <w:jc w:val="left"/>
        <w:rPr/>
      </w:pPr>
      <w:r>
        <w:rPr/>
      </w:r>
    </w:p>
    <w:p>
      <w:pPr>
        <w:pStyle w:val="TextBody"/>
        <w:bidi w:val="0"/>
        <w:spacing w:lineRule="auto" w:line="240" w:before="0" w:after="0"/>
        <w:ind w:left="0" w:right="0" w:hanging="720"/>
        <w:jc w:val="both"/>
        <w:rPr/>
      </w:pPr>
      <w:r>
        <w:rPr>
          <w:rFonts w:ascii="Arial;sans-serif" w:hAnsi="Arial;sans-serif"/>
          <w:b w:val="false"/>
          <w:color w:val="000000"/>
          <w:sz w:val="20"/>
        </w:rPr>
        <w:t>(1)</w:t>
      </w:r>
      <w:r>
        <w:rPr>
          <w:rFonts w:ascii="Times New Roman;sans-serif" w:hAnsi="Times New Roman;sans-serif"/>
          <w:b w:val="false"/>
          <w:color w:val="000000"/>
          <w:sz w:val="24"/>
        </w:rPr>
        <w:t>In the event of an Accounting Restatement, the Company will reasonably promptly recover the Erroneously Awarded Compensation Received in accordance with the Nasdaq Rules and Rule 10D-1 under the Exchange Act as follows:</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4"/>
        </w:rPr>
        <w:t>(i)After an Accounting Restatement, the Compensation Committee (if composed entirely of independent directors, or in the absence of such a committee, a majority of independent directors serving on the Board) (the “</w:t>
      </w:r>
      <w:r>
        <w:rPr>
          <w:rFonts w:ascii="Times New Roman;sans-serif" w:hAnsi="Times New Roman;sans-serif"/>
          <w:b/>
          <w:i/>
          <w:color w:val="000000"/>
          <w:sz w:val="24"/>
        </w:rPr>
        <w:t>Committee</w:t>
      </w:r>
      <w:r>
        <w:rPr>
          <w:color w:val="000000"/>
        </w:rPr>
        <w:t>”</w:t>
      </w:r>
      <w:r>
        <w:rPr>
          <w:rFonts w:ascii="Times New Roman;sans-serif" w:hAnsi="Times New Roman;sans-serif"/>
          <w:b w:val="false"/>
          <w:color w:val="000000"/>
          <w:sz w:val="24"/>
        </w:rPr>
        <w:t>) shall determine the amount of any Erroneously Awarded Compensation Received by each Executive Officer and shall promptly provide each Executive Officer with a written notice containing the amount of any Erroneously Awarded Compensation and a demand for repayment or return of such compensation, as applicable.</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(ii)The Committee shall have sole discretion to determine the appropriate means of recovering Erroneously Awarded Compensation based on the particular facts and circumstances, which may include, without limitation: (a) requiring reimbursement of cash compensation previously paid; (b) seeking recovery of any gain realized on the vesting, exercise, settlement, sale, transfer, or other disposition of any equity-based awards; (c) offsetting the recouped amount from any compensation otherwise owed; (d) canceling outstanding equity awards which are unvested and/or, in the case of restricted share units, which are vested but have yet to settle; and/or (e) taking any other remedial and recovery action permitted by law, as determined by the Committee.</w: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(iii)Notwithstanding the foregoing, except as set forth in Section B(2) below, in no event may the Company accept an amount that is less than the amount of Erroneously Awarded Compensation in satisfaction of an Executive Officer’s obligations hereunder.</w:t>
      </w:r>
    </w:p>
    <w:p>
      <w:pPr>
        <w:pStyle w:val="TextBody"/>
        <w:bidi w:val="0"/>
        <w:spacing w:before="0" w:after="0"/>
        <w:jc w:val="left"/>
        <w:rPr/>
      </w:pPr>
      <w:r>
        <w:rPr/>
      </w:r>
    </w:p>
    <w:p>
      <w:pPr>
        <w:pStyle w:val="TextBody"/>
        <w:bidi w:val="0"/>
        <w:spacing w:lineRule="auto" w:line="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(iv)To the extent that the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273050"/>
                <wp:effectExtent l="0" t="0" r="0" b="0"/>
                <wp:wrapNone/>
                <wp:docPr id="212" name="Frame192"/>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40" w:before="200" w:after="283"/>
                              <w:jc w:val="left"/>
                              <w:rPr>
                                <w:rFonts w:ascii="Arial;sans-serif" w:hAnsi="Arial;sans-serif"/>
                                <w:b w:val="false"/>
                                <w:color w:val="000000"/>
                                <w:sz w:val="20"/>
                              </w:rPr>
                            </w:pPr>
                            <w:r>
                              <w:rPr>
                                <w:rFonts w:ascii="Arial;sans-serif" w:hAnsi="Arial;sans-serif"/>
                                <w:b w:val="false"/>
                                <w:color w:val="000000"/>
                                <w:sz w:val="20"/>
                              </w:rPr>
                              <w:t>POLICY FOR THE RECOVERY OF ERRONEOUSLY AWARDED COMPENSATION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00" w:after="283"/>
                        <w:jc w:val="left"/>
                        <w:rPr>
                          <w:rFonts w:ascii="Arial;sans-serif" w:hAnsi="Arial;sans-serif"/>
                          <w:b w:val="false"/>
                          <w:color w:val="000000"/>
                          <w:sz w:val="20"/>
                        </w:rPr>
                      </w:pPr>
                      <w:r>
                        <w:rPr>
                          <w:rFonts w:ascii="Arial;sans-serif" w:hAnsi="Arial;sans-serif"/>
                          <w:b w:val="false"/>
                          <w:color w:val="000000"/>
                          <w:sz w:val="20"/>
                        </w:rPr>
                        <w:t>POLICY FOR THE RECOVERY OF ERRONEOUSLY AWARDED COMPENSATION            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 All claims and disputes arising under or relating to such recovery will be settled by binding arbitration to take place in the New York City or Los Angeles metropolitan areas. An award of arbitration may be confirmed in a court of competent jurisdiction.</w:t>
      </w:r>
    </w:p>
    <w:p>
      <w:pPr>
        <w:pStyle w:val="TextBody"/>
        <w:bidi w:val="0"/>
        <w:spacing w:before="10" w:after="283"/>
        <w:jc w:val="left"/>
        <w:rPr/>
      </w:pPr>
      <w:r>
        <w:rPr/>
      </w:r>
    </w:p>
    <w:p>
      <w:pPr>
        <w:pStyle w:val="TextBody"/>
        <w:bidi w:val="0"/>
        <w:spacing w:lineRule="auto" w:line="240" w:before="0" w:after="0"/>
        <w:ind w:left="0" w:right="0" w:hanging="720"/>
        <w:jc w:val="both"/>
        <w:rPr/>
      </w:pPr>
      <w:r>
        <w:rPr>
          <w:rFonts w:ascii="Arial;sans-serif" w:hAnsi="Arial;sans-serif"/>
          <w:b w:val="false"/>
          <w:color w:val="000000"/>
          <w:sz w:val="20"/>
        </w:rPr>
        <w:t>(2)</w:t>
      </w:r>
      <w:r>
        <w:rPr>
          <w:rFonts w:ascii="Times New Roman;sans-serif" w:hAnsi="Times New Roman;sans-serif"/>
          <w:b w:val="false"/>
          <w:color w:val="000000"/>
          <w:sz w:val="24"/>
        </w:rPr>
        <w:t xml:space="preserve">Notwithstanding anything herein to the contrary, the Company shall not be required to take the actions contemplated by Section B(1) above if the Committee determines that recovery would be impracticable </w:t>
      </w:r>
      <w:r>
        <w:rPr>
          <w:rFonts w:ascii="Times New Roman;sans-serif" w:hAnsi="Times New Roman;sans-serif"/>
          <w:b w:val="false"/>
          <w:i/>
          <w:color w:val="000000"/>
          <w:sz w:val="24"/>
        </w:rPr>
        <w:t xml:space="preserve">and </w:t>
      </w:r>
      <w:r>
        <w:rPr>
          <w:rFonts w:ascii="Times New Roman;sans-serif" w:hAnsi="Times New Roman;sans-serif"/>
          <w:b w:val="false"/>
          <w:color w:val="000000"/>
          <w:sz w:val="24"/>
        </w:rPr>
        <w:t>either of the following two conditions are met:</w:t>
      </w:r>
    </w:p>
    <w:p>
      <w:pPr>
        <w:pStyle w:val="TextBody"/>
        <w:bidi w:val="0"/>
        <w:spacing w:before="11" w:after="283"/>
        <w:jc w:val="left"/>
        <w:rPr/>
      </w:pPr>
      <w:r>
        <w:rPr/>
      </w:r>
    </w:p>
    <w:p>
      <w:pPr>
        <w:pStyle w:val="TextBody"/>
        <w:bidi w:val="0"/>
        <w:spacing w:lineRule="auto" w:line="276"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documented such attempt(s) and provided such documentation to the Nasdaq; or</w:t>
      </w:r>
    </w:p>
    <w:p>
      <w:pPr>
        <w:pStyle w:val="TextBody"/>
        <w:bidi w:val="0"/>
        <w:spacing w:before="79" w:after="283"/>
        <w:jc w:val="left"/>
        <w:rPr/>
      </w:pPr>
      <w:r>
        <w:rPr/>
      </w:r>
    </w:p>
    <w:p>
      <w:pPr>
        <w:pStyle w:val="TextBody"/>
        <w:bidi w:val="0"/>
        <w:spacing w:lineRule="auto" w:line="276"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pStyle w:val="TextBody"/>
        <w:bidi w:val="0"/>
        <w:spacing w:before="10" w:after="283"/>
        <w:jc w:val="left"/>
        <w:rPr/>
      </w:pPr>
      <w:r>
        <w:rPr/>
      </w:r>
    </w:p>
    <w:p>
      <w:pPr>
        <w:pStyle w:val="TextBody"/>
        <w:bidi w:val="0"/>
        <w:spacing w:lineRule="auto" w:line="240" w:before="0" w:after="0"/>
        <w:jc w:val="left"/>
        <w:rPr/>
      </w:pPr>
      <w:r>
        <w:rPr>
          <w:rFonts w:ascii="Arial;sans-serif" w:hAnsi="Arial;sans-serif"/>
          <w:b w:val="false"/>
          <w:color w:val="FF0000"/>
          <w:sz w:val="20"/>
        </w:rPr>
        <w:t>C.</w:t>
      </w:r>
      <w:r>
        <w:rPr>
          <w:rFonts w:ascii="Times New Roman;sans-serif" w:hAnsi="Times New Roman;sans-serif"/>
          <w:b/>
          <w:color w:val="FF0000"/>
          <w:sz w:val="24"/>
        </w:rPr>
        <w:t>DEFINITIONS</w:t>
      </w:r>
    </w:p>
    <w:p>
      <w:pPr>
        <w:pStyle w:val="TextBody"/>
        <w:bidi w:val="0"/>
        <w:spacing w:before="8"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this Policy, the following capitalized terms shall have the meanings set forth below.</w:t>
      </w:r>
    </w:p>
    <w:p>
      <w:pPr>
        <w:pStyle w:val="TextBody"/>
        <w:bidi w:val="0"/>
        <w:spacing w:before="10" w:after="283"/>
        <w:jc w:val="left"/>
        <w:rPr/>
      </w:pPr>
      <w:r>
        <w:rPr/>
      </w:r>
    </w:p>
    <w:p>
      <w:pPr>
        <w:pStyle w:val="TextBody"/>
        <w:bidi w:val="0"/>
        <w:spacing w:lineRule="auto" w:line="240" w:before="0" w:after="0"/>
        <w:ind w:left="0" w:right="0" w:hanging="720"/>
        <w:jc w:val="both"/>
        <w:rPr/>
      </w:pPr>
      <w:r>
        <w:rPr>
          <w:rFonts w:ascii="Arial;sans-serif" w:hAnsi="Arial;sans-serif"/>
          <w:b w:val="false"/>
          <w:color w:val="000000"/>
          <w:sz w:val="20"/>
        </w:rPr>
        <w:t>(1)</w:t>
      </w:r>
      <w:r>
        <w:rPr>
          <w:color w:val="000000"/>
        </w:rPr>
        <w:t>“</w:t>
      </w:r>
      <w:r>
        <w:rPr>
          <w:rFonts w:ascii="Times New Roman;sans-serif" w:hAnsi="Times New Roman;sans-serif"/>
          <w:b/>
          <w:i/>
          <w:color w:val="000000"/>
          <w:sz w:val="24"/>
        </w:rPr>
        <w:t>Accounting Restatement</w:t>
      </w:r>
      <w:r>
        <w:rPr>
          <w:color w:val="000000"/>
        </w:rPr>
        <w:t xml:space="preserve">” </w:t>
      </w:r>
      <w:r>
        <w:rPr>
          <w:rFonts w:ascii="Times New Roman;sans-serif" w:hAnsi="Times New Roman;sans-serif"/>
          <w:b w:val="false"/>
          <w:color w:val="000000"/>
          <w:sz w:val="24"/>
        </w:rPr>
        <w:t xml:space="preserve">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were corrected in the current period or left uncorrected in the current period (i.e., a “little r” restatement). </w:t>
      </w:r>
    </w:p>
    <w:p>
      <w:pPr>
        <w:pStyle w:val="TextBody"/>
        <w:bidi w:val="0"/>
        <w:spacing w:before="10" w:after="283"/>
        <w:jc w:val="left"/>
        <w:rPr/>
      </w:pPr>
      <w:r>
        <w:rPr/>
      </w:r>
    </w:p>
    <w:p>
      <w:pPr>
        <w:pStyle w:val="TextBody"/>
        <w:bidi w:val="0"/>
        <w:spacing w:lineRule="auto" w:line="240"/>
        <w:ind w:left="0" w:right="0" w:hanging="720"/>
        <w:jc w:val="both"/>
        <w:rPr/>
      </w:pPr>
      <w:r>
        <w:rPr>
          <w:rFonts w:ascii="Arial;sans-serif" w:hAnsi="Arial;sans-serif"/>
          <w:b w:val="false"/>
          <w:color w:val="000000"/>
          <w:sz w:val="20"/>
        </w:rPr>
        <w:t>(2)</w:t>
      </w:r>
      <w:r>
        <w:rPr>
          <w:color w:val="000000"/>
        </w:rPr>
        <w:t>“</w:t>
      </w:r>
      <w:r>
        <w:rPr>
          <w:rFonts w:ascii="Times New Roman;sans-serif" w:hAnsi="Times New Roman;sans-serif"/>
          <w:b/>
          <w:i/>
          <w:color w:val="000000"/>
          <w:sz w:val="24"/>
        </w:rPr>
        <w:t>Clawback Eligible Incentive Compensation</w:t>
      </w:r>
      <w:r>
        <w:rPr>
          <w:color w:val="000000"/>
        </w:rPr>
        <w:t xml:space="preserve">” </w:t>
      </w:r>
      <w:r>
        <w:rPr>
          <w:rFonts w:ascii="Times New Roman;sans-serif" w:hAnsi="Times New Roman;sans-serif"/>
          <w:b w:val="false"/>
          <w:color w:val="000000"/>
          <w:sz w:val="24"/>
        </w:rPr>
        <w:t xml:space="preserve">means all Incentive-based Compensation Received by an Executive Officer (a) on or after the effective date of this Policy, (b) after beginning service as an Executive Officer, (c) who served as an Executive Officer at any time during the performance period relating to any Incentive-based Compensation (whether or not such Executive Officer is serving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468630"/>
                <wp:effectExtent l="0" t="0" r="0" b="0"/>
                <wp:wrapNone/>
                <wp:docPr id="213" name="Frame193"/>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lineRule="auto" w:line="192" w:before="0" w:after="0"/>
                              <w:jc w:val="right"/>
                              <w:rPr>
                                <w:rFonts w:ascii="Proxima Nova;sans-serif" w:hAnsi="Proxima Nova;sans-serif"/>
                                <w:b w:val="false"/>
                                <w:color w:val="000000"/>
                                <w:sz w:val="20"/>
                              </w:rPr>
                            </w:pPr>
                            <w:r>
                              <w:rPr>
                                <w:rFonts w:ascii="Proxima Nova;sans-serif" w:hAnsi="Proxima Nova;sans-serif"/>
                                <w:b w:val="false"/>
                                <w:color w:val="000000"/>
                                <w:sz w:val="20"/>
                              </w:rPr>
                              <w:t>POLICY FOR THE RECOVERY OF ERRONEOUSLY AWARDED COMPENSATION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192" w:before="0" w:after="0"/>
                        <w:jc w:val="right"/>
                        <w:rPr>
                          <w:rFonts w:ascii="Proxima Nova;sans-serif" w:hAnsi="Proxima Nova;sans-serif"/>
                          <w:b w:val="false"/>
                          <w:color w:val="000000"/>
                          <w:sz w:val="20"/>
                        </w:rPr>
                      </w:pPr>
                      <w:r>
                        <w:rPr>
                          <w:rFonts w:ascii="Proxima Nova;sans-serif" w:hAnsi="Proxima Nova;sans-serif"/>
                          <w:b w:val="false"/>
                          <w:color w:val="000000"/>
                          <w:sz w:val="20"/>
                        </w:rPr>
                        <w:t>POLICY FOR THE RECOVERY OF ERRONEOUSLY AWARDED COMPENSATION                        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 the time the Erroneously Awarded Compensation is required to be repaid to the Company), (d) while the Company has a class of securities listed on a national securities exchange or a national securities association, and (e) during the applicable Clawback Period.</w:t>
      </w:r>
    </w:p>
    <w:p>
      <w:pPr>
        <w:pStyle w:val="TextBody"/>
        <w:bidi w:val="0"/>
        <w:spacing w:before="10" w:after="283"/>
        <w:ind w:left="0" w:right="0" w:hanging="720"/>
        <w:jc w:val="left"/>
        <w:rPr/>
      </w:pPr>
      <w:r>
        <w:rPr/>
      </w:r>
    </w:p>
    <w:p>
      <w:pPr>
        <w:pStyle w:val="TextBody"/>
        <w:bidi w:val="0"/>
        <w:spacing w:lineRule="auto" w:line="240" w:before="0" w:after="0"/>
        <w:ind w:left="0" w:right="0" w:hanging="720"/>
        <w:jc w:val="both"/>
        <w:rPr/>
      </w:pPr>
      <w:r>
        <w:rPr>
          <w:rFonts w:ascii="Arial;sans-serif" w:hAnsi="Arial;sans-serif"/>
          <w:b w:val="false"/>
          <w:color w:val="000000"/>
          <w:sz w:val="20"/>
        </w:rPr>
        <w:t>(3)</w:t>
      </w:r>
      <w:r>
        <w:rPr>
          <w:color w:val="000000"/>
        </w:rPr>
        <w:t>“</w:t>
      </w:r>
      <w:r>
        <w:rPr>
          <w:rFonts w:ascii="Times New Roman;sans-serif" w:hAnsi="Times New Roman;sans-serif"/>
          <w:b/>
          <w:i/>
          <w:color w:val="000000"/>
          <w:sz w:val="24"/>
        </w:rPr>
        <w:t>Clawback Period</w:t>
      </w:r>
      <w:r>
        <w:rPr>
          <w:color w:val="000000"/>
        </w:rPr>
        <w:t xml:space="preserve">” </w:t>
      </w:r>
      <w:r>
        <w:rPr>
          <w:rFonts w:ascii="Times New Roman;sans-serif" w:hAnsi="Times New Roman;sans-serif"/>
          <w:b w:val="false"/>
          <w:color w:val="000000"/>
          <w:sz w:val="24"/>
        </w:rPr>
        <w:t>means, with respect to any Accounting Restatement, the three completed fiscal years of the Company immediately preceding the Restatement Date, as well as, if the Company changes its fiscal year, any transition period of less than nine months within or immediately following those three completed fiscal years (as a transition period of at least nine months counts as a completed fiscal year).</w:t>
      </w:r>
    </w:p>
    <w:p>
      <w:pPr>
        <w:pStyle w:val="TextBody"/>
        <w:bidi w:val="0"/>
        <w:spacing w:before="9" w:after="283"/>
        <w:ind w:left="0" w:right="0" w:hanging="720"/>
        <w:jc w:val="left"/>
        <w:rPr/>
      </w:pPr>
      <w:r>
        <w:rPr/>
      </w:r>
    </w:p>
    <w:p>
      <w:pPr>
        <w:pStyle w:val="TextBody"/>
        <w:bidi w:val="0"/>
        <w:spacing w:lineRule="auto" w:line="240" w:before="0" w:after="0"/>
        <w:ind w:left="0" w:right="0" w:hanging="720"/>
        <w:jc w:val="both"/>
        <w:rPr/>
      </w:pPr>
      <w:r>
        <w:rPr>
          <w:rFonts w:ascii="Arial;sans-serif" w:hAnsi="Arial;sans-serif"/>
          <w:b w:val="false"/>
          <w:color w:val="000000"/>
          <w:sz w:val="20"/>
        </w:rPr>
        <w:t>(4)</w:t>
      </w: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 For Incentive-based Compensation based on (or derived from) the Company’s stock price or total shareholder return, where the amount of Erroneously Awarded Compensation is not subject to mathematical recalculation directly from the information in the applicable Accounting Restatement: (a) the amount to be repaid or returned shall be determined by the Committee based on a reasonable estimate of the effect of the Accounting Restatement on the Company’s stock price or total shareholder return upon which the Incentive-based Compensation was Received; and (b) the Company shall maintain documentation of the determination of such reasonable estimate and provide the relevant documentation as required to the Nasdaq.</w:t>
      </w:r>
    </w:p>
    <w:p>
      <w:pPr>
        <w:pStyle w:val="TextBody"/>
        <w:bidi w:val="0"/>
        <w:spacing w:before="0" w:after="0"/>
        <w:ind w:left="0" w:right="0" w:hanging="720"/>
        <w:jc w:val="left"/>
        <w:rPr/>
      </w:pPr>
      <w:r>
        <w:rPr/>
      </w:r>
    </w:p>
    <w:p>
      <w:pPr>
        <w:pStyle w:val="TextBody"/>
        <w:bidi w:val="0"/>
        <w:spacing w:lineRule="auto" w:line="240" w:before="0" w:after="0"/>
        <w:ind w:left="0" w:right="0" w:hanging="720"/>
        <w:jc w:val="both"/>
        <w:rPr/>
      </w:pPr>
      <w:r>
        <w:rPr>
          <w:rFonts w:ascii="Arial;sans-serif" w:hAnsi="Arial;sans-serif"/>
          <w:b w:val="false"/>
          <w:color w:val="000000"/>
          <w:sz w:val="20"/>
        </w:rPr>
        <w:t>(5)</w:t>
      </w:r>
      <w:r>
        <w:rPr>
          <w:color w:val="000000"/>
        </w:rPr>
        <w:t>“</w:t>
      </w:r>
      <w:r>
        <w:rPr>
          <w:rFonts w:ascii="Times New Roman;sans-serif" w:hAnsi="Times New Roman;sans-serif"/>
          <w:b/>
          <w:i/>
          <w:color w:val="000000"/>
          <w:sz w:val="24"/>
        </w:rPr>
        <w:t>Executive Officer</w:t>
      </w:r>
      <w:r>
        <w:rPr>
          <w:color w:val="000000"/>
        </w:rPr>
        <w:t xml:space="preserve">” </w:t>
      </w:r>
      <w:r>
        <w:rPr>
          <w:rFonts w:ascii="Times New Roman;sans-serif" w:hAnsi="Times New Roman;sans-serif"/>
          <w:b w:val="false"/>
          <w:color w:val="000000"/>
          <w:sz w:val="24"/>
        </w:rPr>
        <w:t>means each individual who is currently or was previously designated as an “officer” of the Company as defined in Rule 16a-1(f) under the Exchange Act. For the avoidance of doubt, the identification of an executive officer for purposes of this Policy shall include each executive officer who is or was identified pursuant to Item 401(b) of Regulation S-K, as well as the principal financial officer and principal accounting officer (or, if there is no principal accounting officer, the controller).</w:t>
      </w:r>
    </w:p>
    <w:p>
      <w:pPr>
        <w:pStyle w:val="TextBody"/>
        <w:bidi w:val="0"/>
        <w:spacing w:before="10" w:after="283"/>
        <w:ind w:left="0" w:right="0" w:hanging="720"/>
        <w:jc w:val="left"/>
        <w:rPr/>
      </w:pPr>
      <w:r>
        <w:rPr/>
      </w:r>
    </w:p>
    <w:p>
      <w:pPr>
        <w:pStyle w:val="TextBody"/>
        <w:bidi w:val="0"/>
        <w:spacing w:lineRule="auto" w:line="240" w:before="0" w:after="0"/>
        <w:ind w:left="0" w:right="0" w:hanging="720"/>
        <w:jc w:val="both"/>
        <w:rPr/>
      </w:pPr>
      <w:r>
        <w:rPr>
          <w:rFonts w:ascii="Arial;sans-serif" w:hAnsi="Arial;sans-serif"/>
          <w:b w:val="false"/>
          <w:color w:val="000000"/>
          <w:sz w:val="20"/>
        </w:rPr>
        <w:t>(6)</w:t>
      </w:r>
      <w:r>
        <w:rPr>
          <w:color w:val="000000"/>
        </w:rPr>
        <w:t>“</w:t>
      </w:r>
      <w:r>
        <w:rPr>
          <w:rFonts w:ascii="Times New Roman;sans-serif" w:hAnsi="Times New Roman;sans-serif"/>
          <w:b/>
          <w:i/>
          <w:color w:val="000000"/>
          <w:sz w:val="24"/>
        </w:rPr>
        <w:t>Financial Reporting Measures</w:t>
      </w:r>
      <w:r>
        <w:rPr>
          <w:color w:val="000000"/>
        </w:rPr>
        <w:t xml:space="preserve">” </w:t>
      </w:r>
      <w:r>
        <w:rPr>
          <w:rFonts w:ascii="Times New Roman;sans-serif" w:hAnsi="Times New Roman;sans-serif"/>
          <w:b w:val="false"/>
          <w:color w:val="000000"/>
          <w:sz w:val="24"/>
        </w:rPr>
        <w:t>means measures that are determined and presented in accordance with the accounting principles used in preparing the Company’s financial statements, whether or not in accordance with generally accepted accounting principles (GAAP, and all other measures that are derived wholly or in part from such measures, including without limitation, revenues, net income, earnings before interest, taxes, depreciation, and amortization (EBITDA), operating profit or earnings from operations, however designated, funds from operations, liquidity measures such as working capital or operating cash flow, return measures such as return on invested capital or return on assets, earnings measures such as earnings per share, stock price, and total shareholder return. For the avoidance of doubt, a Financial Reporting Measure need not be presented in the Company’s financial statements or included in a filing with the SEC.</w:t>
      </w:r>
    </w:p>
    <w:p>
      <w:pPr>
        <w:pStyle w:val="TextBody"/>
        <w:bidi w:val="0"/>
        <w:spacing w:before="10" w:after="283"/>
        <w:ind w:left="0" w:right="0" w:hanging="720"/>
        <w:jc w:val="left"/>
        <w:rPr/>
      </w:pPr>
      <w:r>
        <w:rPr/>
      </w:r>
    </w:p>
    <w:p>
      <w:pPr>
        <w:pStyle w:val="TextBody"/>
        <w:bidi w:val="0"/>
        <w:spacing w:lineRule="auto" w:line="240"/>
        <w:ind w:left="0" w:right="0" w:hanging="720"/>
        <w:jc w:val="both"/>
        <w:rPr/>
      </w:pPr>
      <w:r>
        <w:rPr>
          <w:rFonts w:ascii="Arial;sans-serif" w:hAnsi="Arial;sans-serif"/>
          <w:b w:val="false"/>
          <w:color w:val="000000"/>
          <w:sz w:val="20"/>
        </w:rPr>
        <w:t>(7)</w:t>
      </w: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 xml:space="preserve">means any compensation that is granted, earned or vested based wholly or in part upon the attainment of a Financial Reporting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468630"/>
                <wp:effectExtent l="0" t="0" r="0" b="0"/>
                <wp:wrapNone/>
                <wp:docPr id="214" name="Frame194"/>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lineRule="auto" w:line="192" w:before="0" w:after="0"/>
                              <w:jc w:val="right"/>
                              <w:rPr>
                                <w:rFonts w:ascii="Proxima Nova;sans-serif" w:hAnsi="Proxima Nova;sans-serif"/>
                                <w:b w:val="false"/>
                                <w:color w:val="000000"/>
                                <w:sz w:val="20"/>
                              </w:rPr>
                            </w:pPr>
                            <w:r>
                              <w:rPr>
                                <w:rFonts w:ascii="Proxima Nova;sans-serif" w:hAnsi="Proxima Nova;sans-serif"/>
                                <w:b w:val="false"/>
                                <w:color w:val="000000"/>
                                <w:sz w:val="20"/>
                              </w:rPr>
                              <w:t>POLICY FOR THE RECOVERY OF ERRONEOUSLY AWARDED COMPENSATION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192" w:before="0" w:after="0"/>
                        <w:jc w:val="right"/>
                        <w:rPr>
                          <w:rFonts w:ascii="Proxima Nova;sans-serif" w:hAnsi="Proxima Nova;sans-serif"/>
                          <w:b w:val="false"/>
                          <w:color w:val="000000"/>
                          <w:sz w:val="20"/>
                        </w:rPr>
                      </w:pPr>
                      <w:r>
                        <w:rPr>
                          <w:rFonts w:ascii="Proxima Nova;sans-serif" w:hAnsi="Proxima Nova;sans-serif"/>
                          <w:b w:val="false"/>
                          <w:color w:val="000000"/>
                          <w:sz w:val="20"/>
                        </w:rPr>
                        <w:t>POLICY FOR THE RECOVERY OF ERRONEOUSLY AWARDED COMPENSATION                        3</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Measure which may include, without limitation, annual bonuses and other short- and long-term cash incentives, stock options, and restricted stock units.</w:t>
      </w:r>
    </w:p>
    <w:p>
      <w:pPr>
        <w:pStyle w:val="TextBody"/>
        <w:bidi w:val="0"/>
        <w:spacing w:before="1" w:after="283"/>
        <w:ind w:left="0" w:right="0" w:hanging="720"/>
        <w:jc w:val="both"/>
        <w:rPr/>
      </w:pPr>
      <w:r>
        <w:rPr/>
      </w:r>
    </w:p>
    <w:p>
      <w:pPr>
        <w:pStyle w:val="TextBody"/>
        <w:bidi w:val="0"/>
        <w:spacing w:lineRule="auto" w:line="240" w:before="0" w:after="0"/>
        <w:ind w:left="0" w:right="0" w:hanging="720"/>
        <w:jc w:val="both"/>
        <w:rPr/>
      </w:pPr>
      <w:r>
        <w:rPr>
          <w:rFonts w:ascii="Arial;sans-serif" w:hAnsi="Arial;sans-serif"/>
          <w:b w:val="false"/>
          <w:color w:val="000000"/>
          <w:sz w:val="20"/>
        </w:rPr>
        <w:t>(8)</w:t>
      </w:r>
      <w:r>
        <w:rPr>
          <w:color w:val="000000"/>
        </w:rPr>
        <w:t>“</w:t>
      </w:r>
      <w:r>
        <w:rPr>
          <w:rFonts w:ascii="Times New Roman;sans-serif" w:hAnsi="Times New Roman;sans-serif"/>
          <w:b/>
          <w:i/>
          <w:color w:val="000000"/>
          <w:sz w:val="24"/>
        </w:rPr>
        <w:t>Nasdaq</w:t>
      </w:r>
      <w:r>
        <w:rPr>
          <w:color w:val="000000"/>
        </w:rPr>
        <w:t xml:space="preserve">” </w:t>
      </w:r>
      <w:r>
        <w:rPr>
          <w:rFonts w:ascii="Times New Roman;sans-serif" w:hAnsi="Times New Roman;sans-serif"/>
          <w:b w:val="false"/>
          <w:color w:val="000000"/>
          <w:sz w:val="24"/>
        </w:rPr>
        <w:t>means The Nasdaq Stock Market.</w:t>
      </w:r>
    </w:p>
    <w:p>
      <w:pPr>
        <w:pStyle w:val="TextBody"/>
        <w:bidi w:val="0"/>
        <w:spacing w:before="11" w:after="283"/>
        <w:ind w:left="0" w:right="0" w:hanging="720"/>
        <w:jc w:val="left"/>
        <w:rPr/>
      </w:pPr>
      <w:r>
        <w:rPr/>
      </w:r>
    </w:p>
    <w:p>
      <w:pPr>
        <w:pStyle w:val="TextBody"/>
        <w:bidi w:val="0"/>
        <w:spacing w:lineRule="auto" w:line="240" w:before="0" w:after="0"/>
        <w:ind w:left="0" w:right="0" w:hanging="720"/>
        <w:jc w:val="both"/>
        <w:rPr/>
      </w:pPr>
      <w:r>
        <w:rPr>
          <w:rFonts w:ascii="Arial;sans-serif" w:hAnsi="Arial;sans-serif"/>
          <w:b w:val="false"/>
          <w:color w:val="000000"/>
          <w:sz w:val="20"/>
        </w:rPr>
        <w:t>(9)</w:t>
      </w:r>
      <w:r>
        <w:rPr>
          <w:color w:val="000000"/>
        </w:rPr>
        <w:t>“</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w:t>
      </w:r>
    </w:p>
    <w:p>
      <w:pPr>
        <w:pStyle w:val="TextBody"/>
        <w:bidi w:val="0"/>
        <w:spacing w:before="10" w:after="283"/>
        <w:ind w:left="0" w:right="0" w:hanging="720"/>
        <w:jc w:val="left"/>
        <w:rPr/>
      </w:pPr>
      <w:r>
        <w:rPr/>
      </w:r>
    </w:p>
    <w:p>
      <w:pPr>
        <w:pStyle w:val="TextBody"/>
        <w:bidi w:val="0"/>
        <w:spacing w:lineRule="auto" w:line="240" w:before="0" w:after="0"/>
        <w:ind w:left="0" w:right="0" w:hanging="720"/>
        <w:jc w:val="both"/>
        <w:rPr/>
      </w:pPr>
      <w:r>
        <w:rPr>
          <w:rFonts w:ascii="Arial;sans-serif" w:hAnsi="Arial;sans-serif"/>
          <w:b w:val="false"/>
          <w:color w:val="000000"/>
          <w:sz w:val="20"/>
        </w:rPr>
        <w:t>(10)</w:t>
      </w:r>
      <w:r>
        <w:rPr>
          <w:color w:val="000000"/>
        </w:rPr>
        <w:t>“</w:t>
      </w:r>
      <w:r>
        <w:rPr>
          <w:rFonts w:ascii="Times New Roman;sans-serif" w:hAnsi="Times New Roman;sans-serif"/>
          <w:b/>
          <w:i/>
          <w:color w:val="000000"/>
          <w:sz w:val="24"/>
        </w:rPr>
        <w:t>Restatement Date</w:t>
      </w:r>
      <w:r>
        <w:rPr>
          <w:color w:val="000000"/>
        </w:rPr>
        <w:t xml:space="preserve">” </w:t>
      </w:r>
      <w:r>
        <w:rPr>
          <w:rFonts w:ascii="Times New Roman;sans-serif" w:hAnsi="Times New Roman;sans-serif"/>
          <w:b w:val="false"/>
          <w:color w:val="000000"/>
          <w:sz w:val="24"/>
        </w:rPr>
        <w:t>means the earlier to occur of (a) the date the Board, a committee of the Board or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 in each case regardless of if or when the restated financial statements are filed.</w:t>
      </w:r>
    </w:p>
    <w:p>
      <w:pPr>
        <w:pStyle w:val="TextBody"/>
        <w:bidi w:val="0"/>
        <w:spacing w:before="0" w:after="0"/>
        <w:jc w:val="both"/>
        <w:rPr/>
      </w:pPr>
      <w:r>
        <w:rPr/>
      </w:r>
    </w:p>
    <w:p>
      <w:pPr>
        <w:pStyle w:val="TextBody"/>
        <w:bidi w:val="0"/>
        <w:spacing w:lineRule="auto" w:line="240" w:before="0" w:after="0"/>
        <w:ind w:left="0" w:right="0" w:hanging="720"/>
        <w:jc w:val="both"/>
        <w:rPr/>
      </w:pPr>
      <w:r>
        <w:rPr>
          <w:rFonts w:ascii="Arial;sans-serif" w:hAnsi="Arial;sans-serif"/>
          <w:b w:val="false"/>
          <w:color w:val="000000"/>
          <w:sz w:val="20"/>
        </w:rPr>
        <w:t>(11)</w:t>
      </w:r>
      <w:r>
        <w:rPr>
          <w:color w:val="000000"/>
        </w:rPr>
        <w:t>“</w:t>
      </w:r>
      <w:r>
        <w:rPr>
          <w:rFonts w:ascii="Times New Roman;sans-serif" w:hAnsi="Times New Roman;sans-serif"/>
          <w:b/>
          <w:i/>
          <w:color w:val="000000"/>
          <w:sz w:val="24"/>
        </w:rPr>
        <w:t>SEC</w:t>
      </w:r>
      <w:r>
        <w:rPr>
          <w:color w:val="000000"/>
        </w:rPr>
        <w:t xml:space="preserve">” </w:t>
      </w:r>
      <w:r>
        <w:rPr>
          <w:rFonts w:ascii="Times New Roman;sans-serif" w:hAnsi="Times New Roman;sans-serif"/>
          <w:b w:val="false"/>
          <w:color w:val="000000"/>
          <w:sz w:val="24"/>
        </w:rPr>
        <w:t>means the U.S. Securities and Exchange Commission.</w:t>
      </w:r>
    </w:p>
    <w:p>
      <w:pPr>
        <w:pStyle w:val="TextBody"/>
        <w:bidi w:val="0"/>
        <w:spacing w:before="1" w:after="283"/>
        <w:jc w:val="left"/>
        <w:rPr/>
      </w:pPr>
      <w:r>
        <w:rPr/>
      </w:r>
    </w:p>
    <w:p>
      <w:pPr>
        <w:pStyle w:val="TextBody"/>
        <w:bidi w:val="0"/>
        <w:spacing w:lineRule="auto" w:line="240" w:before="1" w:after="283"/>
        <w:jc w:val="left"/>
        <w:rPr/>
      </w:pPr>
      <w:r>
        <w:rPr>
          <w:rFonts w:ascii="Arial;sans-serif" w:hAnsi="Arial;sans-serif"/>
          <w:b w:val="false"/>
          <w:color w:val="FF0000"/>
          <w:sz w:val="20"/>
        </w:rPr>
        <w:t>D.</w:t>
      </w:r>
      <w:r>
        <w:rPr>
          <w:rFonts w:ascii="Times New Roman;sans-serif" w:hAnsi="Times New Roman;sans-serif"/>
          <w:b/>
          <w:color w:val="FF0000"/>
          <w:sz w:val="24"/>
        </w:rPr>
        <w:t>DISCLOSURE REQUIREMENTS</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file all disclosures with respect to this Policy required by applicable SEC and rules.</w:t>
      </w:r>
    </w:p>
    <w:p>
      <w:pPr>
        <w:pStyle w:val="TextBody"/>
        <w:bidi w:val="0"/>
        <w:spacing w:before="11" w:after="283"/>
        <w:jc w:val="left"/>
        <w:rPr/>
      </w:pPr>
      <w:r>
        <w:rPr/>
      </w:r>
    </w:p>
    <w:p>
      <w:pPr>
        <w:pStyle w:val="TextBody"/>
        <w:bidi w:val="0"/>
        <w:spacing w:lineRule="auto" w:line="240" w:before="0" w:after="0"/>
        <w:jc w:val="left"/>
        <w:rPr/>
      </w:pPr>
      <w:r>
        <w:rPr>
          <w:rFonts w:ascii="Arial;sans-serif" w:hAnsi="Arial;sans-serif"/>
          <w:b w:val="false"/>
          <w:color w:val="FF0000"/>
          <w:sz w:val="20"/>
        </w:rPr>
        <w:t>E.</w:t>
      </w:r>
      <w:r>
        <w:rPr>
          <w:rFonts w:ascii="Times New Roman;sans-serif" w:hAnsi="Times New Roman;sans-serif"/>
          <w:b/>
          <w:color w:val="FF0000"/>
          <w:sz w:val="24"/>
        </w:rPr>
        <w:t>PROHIBITION OF INDEMNIFICATION</w:t>
      </w:r>
    </w:p>
    <w:p>
      <w:pPr>
        <w:pStyle w:val="TextBody"/>
        <w:bidi w:val="0"/>
        <w:spacing w:before="8"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not be permitted to insure or indemnify any Executive Officer against (i) the loss of any Erroneously Awarded Compensation that is repaid, returned or recovered pursuant to the terms of this Policy, or (ii) any claims relating to the Company’s enforcement of its rights under this Policy. Further, the Company shall not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 of this Policy). Without limiting the generality of the foregoing, the Company shall not be permitted to pay or reimburse any Executive Officer for the cost of third-party insurance purchased by them to fund their potential obligations under this Policy.</w:t>
      </w:r>
    </w:p>
    <w:p>
      <w:pPr>
        <w:pStyle w:val="TextBody"/>
        <w:bidi w:val="0"/>
        <w:spacing w:before="10" w:after="283"/>
        <w:jc w:val="left"/>
        <w:rPr/>
      </w:pPr>
      <w:r>
        <w:rPr/>
      </w:r>
    </w:p>
    <w:p>
      <w:pPr>
        <w:pStyle w:val="TextBody"/>
        <w:bidi w:val="0"/>
        <w:spacing w:lineRule="auto" w:line="240" w:before="0" w:after="0"/>
        <w:jc w:val="left"/>
        <w:rPr/>
      </w:pPr>
      <w:r>
        <w:rPr>
          <w:rFonts w:ascii="Arial;sans-serif" w:hAnsi="Arial;sans-serif"/>
          <w:b w:val="false"/>
          <w:color w:val="FF0000"/>
          <w:sz w:val="20"/>
        </w:rPr>
        <w:t>F.</w:t>
      </w:r>
      <w:r>
        <w:rPr>
          <w:rFonts w:ascii="Times New Roman;sans-serif" w:hAnsi="Times New Roman;sans-serif"/>
          <w:b/>
          <w:color w:val="FF0000"/>
          <w:sz w:val="24"/>
        </w:rPr>
        <w:t>ADMINISTRATION AND INTERPRETATION</w:t>
      </w:r>
    </w:p>
    <w:p>
      <w:pPr>
        <w:pStyle w:val="TextBody"/>
        <w:bidi w:val="0"/>
        <w:spacing w:before="11"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be administered by the Committee, and any determinations made by the Committee shall be final and binding on all affected individuals.</w:t>
      </w:r>
    </w:p>
    <w:p>
      <w:pPr>
        <w:pStyle w:val="TextBody"/>
        <w:bidi w:val="0"/>
        <w:spacing w:before="11"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is authorized to interpret and construe this Policy and to make all determinations necessary, appropriate, or advisable for the administration of this Policy and for the Company’s compliance with the Nasdaq Rules, Section 10D and Rule 10D-1 under the Exchange Act, and any other applicable law, regulation, rule or interpretation of the SEC or Nasdaq promulgated or issued in connection therewith.</w:t>
      </w:r>
    </w:p>
    <w:p>
      <w:pPr>
        <w:pStyle w:val="TextBody"/>
        <w:bidi w:val="0"/>
        <w:spacing w:before="9"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468630"/>
                <wp:effectExtent l="0" t="0" r="0" b="0"/>
                <wp:wrapNone/>
                <wp:docPr id="215" name="Frame195"/>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lineRule="auto" w:line="192" w:before="0" w:after="0"/>
                              <w:jc w:val="right"/>
                              <w:rPr>
                                <w:rFonts w:ascii="Proxima Nova;sans-serif" w:hAnsi="Proxima Nova;sans-serif"/>
                                <w:b w:val="false"/>
                                <w:color w:val="000000"/>
                                <w:sz w:val="20"/>
                              </w:rPr>
                            </w:pPr>
                            <w:r>
                              <w:rPr>
                                <w:rFonts w:ascii="Proxima Nova;sans-serif" w:hAnsi="Proxima Nova;sans-serif"/>
                                <w:b w:val="false"/>
                                <w:color w:val="000000"/>
                                <w:sz w:val="20"/>
                              </w:rPr>
                              <w:t>POLICY FOR THE RECOVERY OF ERRONEOUSLY AWARDED COMPENSATION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192" w:before="0" w:after="0"/>
                        <w:jc w:val="right"/>
                        <w:rPr>
                          <w:rFonts w:ascii="Proxima Nova;sans-serif" w:hAnsi="Proxima Nova;sans-serif"/>
                          <w:b w:val="false"/>
                          <w:color w:val="000000"/>
                          <w:sz w:val="20"/>
                        </w:rPr>
                      </w:pPr>
                      <w:r>
                        <w:rPr>
                          <w:rFonts w:ascii="Proxima Nova;sans-serif" w:hAnsi="Proxima Nova;sans-serif"/>
                          <w:b w:val="false"/>
                          <w:color w:val="000000"/>
                          <w:sz w:val="20"/>
                        </w:rPr>
                        <w:t>POLICY FOR THE RECOVERY OF ERRONEOUSLY AWARDED COMPENSATION                        4</w:t>
                      </w:r>
                    </w:p>
                  </w:txbxContent>
                </v:textbox>
                <w10:wrap type="none"/>
              </v:rect>
            </w:pict>
          </mc:Fallback>
        </mc:AlternateContent>
      </w:r>
    </w:p>
    <w:p>
      <w:pPr>
        <w:pStyle w:val="TextBody"/>
        <w:bidi w:val="0"/>
        <w:spacing w:lineRule="auto" w:line="240" w:before="0" w:after="0"/>
        <w:jc w:val="left"/>
        <w:rPr/>
      </w:pPr>
      <w:r>
        <w:rPr>
          <w:rFonts w:ascii="Arial;sans-serif" w:hAnsi="Arial;sans-serif"/>
          <w:b w:val="false"/>
          <w:color w:val="FF0000"/>
          <w:sz w:val="20"/>
        </w:rPr>
        <w:t>G.</w:t>
      </w:r>
      <w:r>
        <w:rPr>
          <w:rFonts w:ascii="Times New Roman;sans-serif" w:hAnsi="Times New Roman;sans-serif"/>
          <w:b/>
          <w:color w:val="FF0000"/>
          <w:sz w:val="24"/>
        </w:rPr>
        <w:t>INITIAL AND ANNUAL CERTIFICATION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ans-serif" w:hAnsi="Times New Roman;sans-serif"/>
          <w:b w:val="false"/>
          <w:color w:val="000000"/>
          <w:sz w:val="24"/>
        </w:rPr>
        <w:t xml:space="preserve">Every Executive Officer must certify that they will abide by this Policy; a form of such certification is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This certification will be administered annually as long as an individual remains an Executive Officer.</w:t>
      </w:r>
    </w:p>
    <w:p>
      <w:pPr>
        <w:pStyle w:val="TextBody"/>
        <w:bidi w:val="0"/>
        <w:spacing w:before="11" w:after="283"/>
        <w:jc w:val="left"/>
        <w:rPr/>
      </w:pPr>
      <w:r>
        <w:rPr/>
      </w:r>
    </w:p>
    <w:p>
      <w:pPr>
        <w:pStyle w:val="TextBody"/>
        <w:bidi w:val="0"/>
        <w:spacing w:lineRule="auto" w:line="240" w:before="0" w:after="0"/>
        <w:jc w:val="left"/>
        <w:rPr/>
      </w:pPr>
      <w:r>
        <w:rPr>
          <w:rFonts w:ascii="Arial;sans-serif" w:hAnsi="Arial;sans-serif"/>
          <w:b w:val="false"/>
          <w:color w:val="FF0000"/>
          <w:sz w:val="20"/>
        </w:rPr>
        <w:t>H.</w:t>
      </w:r>
      <w:r>
        <w:rPr>
          <w:rFonts w:ascii="Times New Roman;sans-serif" w:hAnsi="Times New Roman;sans-serif"/>
          <w:b/>
          <w:color w:val="FF0000"/>
          <w:sz w:val="24"/>
        </w:rPr>
        <w:t>OTHER RECOVERY RIGHTS</w:t>
      </w:r>
    </w:p>
    <w:p>
      <w:pPr>
        <w:pStyle w:val="TextBody"/>
        <w:bidi w:val="0"/>
        <w:spacing w:before="8"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This Policy shall be binding and enforceable against all Executive Officers and, to the extent required by applicable law or guidance from the SEC or Nasdaq, their beneficiaries, heirs, executors, administrators or other legal representatives. The Committee intends that this Policy will be applied to the fullest extent of the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w:t>
      </w:r>
      <w:r>
        <w:rPr>
          <w:color w:val="000000"/>
        </w:rPr>
        <w:t xml:space="preserve"> </w:t>
      </w:r>
      <w:r>
        <w:rPr>
          <w:rFonts w:ascii="Times New Roman;sans-serif" w:hAnsi="Times New Roman;sans-serif"/>
          <w:b w:val="false"/>
          <w:color w:val="000000"/>
          <w:sz w:val="24"/>
        </w:rPr>
        <w:t>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or any other agreement or arrangement. Further,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or any other agreement or arrangement.</w:t>
      </w:r>
    </w:p>
    <w:p>
      <w:pPr>
        <w:pStyle w:val="TextBody"/>
        <w:bidi w:val="0"/>
        <w:spacing w:before="1" w:after="283"/>
        <w:jc w:val="left"/>
        <w:rPr/>
      </w:pPr>
      <w:r>
        <w:rPr/>
      </w:r>
    </w:p>
    <w:p>
      <w:pPr>
        <w:pStyle w:val="TextBody"/>
        <w:bidi w:val="0"/>
        <w:spacing w:lineRule="auto" w:line="240" w:before="0" w:after="0"/>
        <w:jc w:val="left"/>
        <w:rPr/>
      </w:pPr>
      <w:r>
        <w:rPr>
          <w:rFonts w:ascii="Arial;sans-serif" w:hAnsi="Arial;sans-serif"/>
          <w:b w:val="false"/>
          <w:color w:val="FF0000"/>
          <w:sz w:val="20"/>
        </w:rPr>
        <w:t>I.</w:t>
      </w:r>
      <w:r>
        <w:rPr>
          <w:rFonts w:ascii="Times New Roman;sans-serif" w:hAnsi="Times New Roman;sans-serif"/>
          <w:b/>
          <w:color w:val="FF0000"/>
          <w:sz w:val="24"/>
        </w:rPr>
        <w:t>EFFECTIVE DATE; RETROACTIVE APPLICATION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This Policy shall be effective as of October 2,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The terms of this Policy shall apply to any Incentive-Based Compensation that is received by the Executive Officer on or after the Effective Date, even if such Incentive-Based Compensation was approved, awarded, granted or paid to the Executive Officer prior to the Effective Date. Without limiting the generality of Paragraph B hereof, and subject to applicable law, the Committee may affect recovery under this Policy from any amount of compensation approved, awarded, granted, payable or paid to the Executive Officer prior to, on or after the Effective Date.</w:t>
      </w:r>
    </w:p>
    <w:p>
      <w:pPr>
        <w:pStyle w:val="TextBody"/>
        <w:bidi w:val="0"/>
        <w:spacing w:before="0" w:after="0"/>
        <w:jc w:val="both"/>
        <w:rPr/>
      </w:pPr>
      <w:r>
        <w:rPr/>
      </w:r>
    </w:p>
    <w:p>
      <w:pPr>
        <w:pStyle w:val="TextBody"/>
        <w:bidi w:val="0"/>
        <w:spacing w:lineRule="auto" w:line="240" w:before="0" w:after="0"/>
        <w:jc w:val="left"/>
        <w:rPr/>
      </w:pPr>
      <w:r>
        <w:rPr>
          <w:rFonts w:ascii="Arial;sans-serif" w:hAnsi="Arial;sans-serif"/>
          <w:b w:val="false"/>
          <w:color w:val="FF0000"/>
          <w:sz w:val="20"/>
        </w:rPr>
        <w:t>J.</w:t>
      </w:r>
      <w:r>
        <w:rPr>
          <w:rFonts w:ascii="Times New Roman;sans-serif" w:hAnsi="Times New Roman;sans-serif"/>
          <w:b/>
          <w:color w:val="FF0000"/>
          <w:sz w:val="24"/>
        </w:rPr>
        <w:t>AMENDMENT; TERMINATION</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may amend this Policy from time to time in its discretion and shall amend this Policy as it deems necessary. Notwithstanding anything in this Section J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pStyle w:val="TextBody"/>
        <w:bidi w:val="0"/>
        <w:spacing w:before="1" w:after="283"/>
        <w:jc w:val="left"/>
        <w:rPr/>
      </w:pPr>
      <w:r>
        <w:rPr/>
      </w:r>
    </w:p>
    <w:p>
      <w:pPr>
        <w:pStyle w:val="TextBody"/>
        <w:bidi w:val="0"/>
        <w:spacing w:lineRule="auto" w:line="240" w:before="1" w:after="283"/>
        <w:jc w:val="left"/>
        <w:rPr>
          <w:rFonts w:ascii="Times New Roman;sans-serif" w:hAnsi="Times New Roman;sans-serif"/>
          <w:b/>
          <w:color w:val="000000"/>
          <w:sz w:val="24"/>
        </w:rPr>
      </w:pPr>
      <w:r>
        <w:rPr>
          <w:rFonts w:ascii="Times New Roman;sans-serif" w:hAnsi="Times New Roman;sans-serif"/>
          <w:b/>
          <w:color w:val="000000"/>
          <w:sz w:val="24"/>
        </w:rPr>
        <w:t>Adopted by the Board of Directors on October 12,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468630"/>
                <wp:effectExtent l="0" t="0" r="0" b="0"/>
                <wp:wrapNone/>
                <wp:docPr id="216" name="Frame196"/>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lineRule="auto" w:line="192" w:before="0" w:after="0"/>
                              <w:jc w:val="right"/>
                              <w:rPr>
                                <w:rFonts w:ascii="Proxima Nova;sans-serif" w:hAnsi="Proxima Nova;sans-serif"/>
                                <w:b w:val="false"/>
                                <w:color w:val="000000"/>
                                <w:sz w:val="20"/>
                              </w:rPr>
                            </w:pPr>
                            <w:r>
                              <w:rPr>
                                <w:rFonts w:ascii="Proxima Nova;sans-serif" w:hAnsi="Proxima Nova;sans-serif"/>
                                <w:b w:val="false"/>
                                <w:color w:val="000000"/>
                                <w:sz w:val="20"/>
                              </w:rPr>
                              <w:t>POLICY FOR THE RECOVERY OF ERRONEOUSLY AWARDED COMPENSATION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192" w:before="0" w:after="0"/>
                        <w:jc w:val="right"/>
                        <w:rPr>
                          <w:rFonts w:ascii="Proxima Nova;sans-serif" w:hAnsi="Proxima Nova;sans-serif"/>
                          <w:b w:val="false"/>
                          <w:color w:val="000000"/>
                          <w:sz w:val="20"/>
                        </w:rPr>
                      </w:pPr>
                      <w:r>
                        <w:rPr>
                          <w:rFonts w:ascii="Proxima Nova;sans-serif" w:hAnsi="Proxima Nova;sans-serif"/>
                          <w:b w:val="false"/>
                          <w:color w:val="000000"/>
                          <w:sz w:val="20"/>
                        </w:rPr>
                        <w:t>POLICY FOR THE RECOVERY OF ERRONEOUSLY AWARDED COMPENSATION                        5</w:t>
                      </w:r>
                    </w:p>
                  </w:txbxContent>
                </v:textbox>
                <w10:wrap type="none"/>
              </v:rect>
            </w:pict>
          </mc:Fallback>
        </mc:AlternateContent>
      </w:r>
    </w:p>
    <w:p>
      <w:pPr>
        <w:pStyle w:val="TextBody"/>
        <w:bidi w:val="0"/>
        <w:spacing w:lineRule="auto" w:line="240" w:before="76" w:after="283"/>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before="10" w:after="283"/>
        <w:jc w:val="left"/>
        <w:rPr/>
      </w:pPr>
      <w:r>
        <w:rPr/>
      </w:r>
    </w:p>
    <w:p>
      <w:pPr>
        <w:pStyle w:val="TextBody"/>
        <w:bidi w:val="0"/>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ATTESTATION AND ACKNOWLEDGEMENT OF POLICY FOR THE RECOVERY OF ERRONEOUSLY AWARDED COMPENSATION</w:t>
      </w:r>
    </w:p>
    <w:p>
      <w:pPr>
        <w:pStyle w:val="TextBody"/>
        <w:bidi w:val="0"/>
        <w:spacing w:before="0" w:after="0"/>
        <w:jc w:val="left"/>
        <w:rPr/>
      </w:pPr>
      <w:r>
        <w:rPr/>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my signature below, I acknowledge and agree that:</w:t>
      </w:r>
    </w:p>
    <w:p>
      <w:pPr>
        <w:pStyle w:val="TextBody"/>
        <w:bidi w:val="0"/>
        <w:spacing w:before="10" w:after="283"/>
        <w:jc w:val="left"/>
        <w:rPr/>
      </w:pPr>
      <w:r>
        <w:rPr/>
      </w:r>
    </w:p>
    <w:p>
      <w:pPr>
        <w:pStyle w:val="TextBody"/>
        <w:bidi w:val="0"/>
        <w:spacing w:lineRule="auto" w:line="240" w:before="0" w:after="200"/>
        <w:jc w:val="both"/>
        <w:rPr/>
      </w:pPr>
      <w:r>
        <w:rPr>
          <w:color w:val="000000"/>
        </w:rPr>
        <w:t>●</w:t>
      </w:r>
      <w:r>
        <w:rPr>
          <w:rFonts w:ascii="Times New Roman;sans-serif" w:hAnsi="Times New Roman;sans-serif"/>
          <w:b w:val="false"/>
          <w:color w:val="000000"/>
          <w:sz w:val="24"/>
        </w:rPr>
        <w:t>I have received and read the attached Policy for the Recovery of Erroneously Awarded Compensation (this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w:t>
      </w:r>
    </w:p>
    <w:p>
      <w:pPr>
        <w:pStyle w:val="TextBody"/>
        <w:bidi w:val="0"/>
        <w:spacing w:lineRule="auto" w:line="240" w:before="0" w:after="0"/>
        <w:jc w:val="both"/>
        <w:rPr/>
      </w:pPr>
      <w:r>
        <w:rPr>
          <w:color w:val="000000"/>
        </w:rPr>
        <w:t>●</w:t>
      </w:r>
      <w:r>
        <w:rPr>
          <w:rFonts w:ascii="Times New Roman;sans-serif" w:hAnsi="Times New Roman;sans-serif"/>
          <w:b w:val="false"/>
          <w:color w:val="000000"/>
          <w:sz w:val="24"/>
        </w:rPr>
        <w:t>I hereby agree to abide by all of the terms of this Policy both during and after my employment with the Company, including, without limitation, by promptly repaying or returning any Erroneously Awarded Compensation to the Company as determined in accordance with this Policy.</w:t>
      </w:r>
    </w:p>
    <w:p>
      <w:pPr>
        <w:pStyle w:val="TextBody"/>
        <w:bidi w:val="0"/>
        <w:spacing w:before="10" w:after="283"/>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Signature:</w:t>
      </w:r>
      <w:r>
        <w:rPr>
          <w:color w:val="000000"/>
          <w:u w:val="single"/>
        </w:rPr>
        <w:t>    </w:t>
      </w:r>
    </w:p>
    <w:p>
      <w:pPr>
        <w:pStyle w:val="TextBody"/>
        <w:bidi w:val="0"/>
        <w:spacing w:before="7" w:after="283"/>
        <w:jc w:val="left"/>
        <w:rPr/>
      </w:pPr>
      <w:r>
        <w:rPr/>
      </w:r>
    </w:p>
    <w:p>
      <w:pPr>
        <w:pStyle w:val="TextBody"/>
        <w:bidi w:val="0"/>
        <w:spacing w:lineRule="auto" w:line="240" w:before="93" w:after="283"/>
        <w:jc w:val="left"/>
        <w:rPr/>
      </w:pPr>
      <w:r>
        <w:rPr>
          <w:rFonts w:ascii="Times New Roman;sans-serif" w:hAnsi="Times New Roman;sans-serif"/>
          <w:b w:val="false"/>
          <w:color w:val="000000"/>
          <w:sz w:val="24"/>
        </w:rPr>
        <w:t>Printed Name:</w:t>
      </w:r>
      <w:r>
        <w:rPr>
          <w:color w:val="000000"/>
          <w:u w:val="single"/>
        </w:rPr>
        <w:t>    </w:t>
      </w:r>
    </w:p>
    <w:p>
      <w:pPr>
        <w:pStyle w:val="TextBody"/>
        <w:bidi w:val="0"/>
        <w:spacing w:before="10" w:after="283"/>
        <w:jc w:val="left"/>
        <w:rPr/>
      </w:pPr>
      <w:r>
        <w:rPr/>
      </w:r>
    </w:p>
    <w:p>
      <w:pPr>
        <w:pStyle w:val="TextBody"/>
        <w:bidi w:val="0"/>
        <w:spacing w:lineRule="auto" w:line="240" w:before="93" w:after="283"/>
        <w:jc w:val="left"/>
        <w:rPr/>
      </w:pPr>
      <w:r>
        <w:rPr>
          <w:rFonts w:ascii="Times New Roman;sans-serif" w:hAnsi="Times New Roman;sans-serif"/>
          <w:b w:val="false"/>
          <w:color w:val="000000"/>
          <w:sz w:val="24"/>
        </w:rPr>
        <w:t>Date:</w:t>
      </w:r>
      <w:r>
        <w:rPr>
          <w:color w:val="000000"/>
          <w:u w:val="singl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Proxima Nova">
    <w:altName w:val="sans-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8972/000182897223000124/exhibit11-atm8xk.htm" TargetMode="External"/><Relationship Id="rId4" Type="http://schemas.openxmlformats.org/officeDocument/2006/relationships/hyperlink" Target="https://www.sec.gov/Archives/edgar/data/1828972/000182897223000124/exhibit11-atm8xk.htm" TargetMode="External"/><Relationship Id="rId5" Type="http://schemas.openxmlformats.org/officeDocument/2006/relationships/hyperlink" Target="https://www.sec.gov/Archives/edgar/data/1828972/000110465921085218/tm2120621d1_ex2-1.htm" TargetMode="External"/><Relationship Id="rId6" Type="http://schemas.openxmlformats.org/officeDocument/2006/relationships/hyperlink" Target="https://www.sec.gov/Archives/edgar/data/1828972/000110465921098380/tm2122219d3_ex2-2.htm" TargetMode="External"/><Relationship Id="rId7" Type="http://schemas.openxmlformats.org/officeDocument/2006/relationships/hyperlink" Target="https://www.sec.gov/Archives/edgar/data/1828972/000110465921098380/tm2122219d3_ex2-3.htm" TargetMode="External"/><Relationship Id="rId8" Type="http://schemas.openxmlformats.org/officeDocument/2006/relationships/hyperlink" Target="https://www.sec.gov/Archives/edgar/data/1828972/000182897224000015/exhibit21-apa.htm" TargetMode="External"/><Relationship Id="rId9" Type="http://schemas.openxmlformats.org/officeDocument/2006/relationships/hyperlink" Target="https://www.sec.gov/Archives/edgar/data/1828972/000110465921148188/tm2134844d1_ex3-1.htm" TargetMode="External"/><Relationship Id="rId10" Type="http://schemas.openxmlformats.org/officeDocument/2006/relationships/hyperlink" Target="https://www.sec.gov/Archives/edgar/data/1828972/000182897223000025/exhibit31delaware-buzzfeed.htm" TargetMode="External"/><Relationship Id="rId11" Type="http://schemas.openxmlformats.org/officeDocument/2006/relationships/hyperlink" Target="https://www.sec.gov/Archives/edgar/data/1828972/000182897223000141/exhibit33.htm" TargetMode="External"/><Relationship Id="rId12" Type="http://schemas.openxmlformats.org/officeDocument/2006/relationships/hyperlink" Target="https://www.sec.gov/Archives/edgar/data/1828972/000182897223000141/exhibit33.htm" TargetMode="External"/><Relationship Id="rId13" Type="http://schemas.openxmlformats.org/officeDocument/2006/relationships/hyperlink" Target="https://www.sec.gov/Archives/edgar/data/1828972/000182897223000141/exhibit33.htm" TargetMode="External"/><Relationship Id="rId14" Type="http://schemas.openxmlformats.org/officeDocument/2006/relationships/hyperlink" Target="https://www.sec.gov/Archives/edgar/data/1828972/000110465921148188/tm2134844d1_ex3-2.htm" TargetMode="External"/><Relationship Id="rId15" Type="http://schemas.openxmlformats.org/officeDocument/2006/relationships/hyperlink" Target="https://www.sec.gov/Archives/edgar/data/1828972/000182897223000029/bzfd-20221231xexx45.htm" TargetMode="External"/><Relationship Id="rId16" Type="http://schemas.openxmlformats.org/officeDocument/2006/relationships/hyperlink" Target="https://www.sec.gov/Archives/edgar/data/1828972/000110465921122092/enfa-20211001xex4d1.htm" TargetMode="External"/><Relationship Id="rId17" Type="http://schemas.openxmlformats.org/officeDocument/2006/relationships/hyperlink" Target="https://www.sec.gov/Archives/edgar/data/1828972/000110465921001623/tm2034583d8_ex4-4.htm" TargetMode="External"/><Relationship Id="rId18" Type="http://schemas.openxmlformats.org/officeDocument/2006/relationships/hyperlink" Target="https://www.sec.gov/Archives/edgar/data/1828972/000110465921148188/tm2134844d1_ex4-3.htm" TargetMode="External"/><Relationship Id="rId19" Type="http://schemas.openxmlformats.org/officeDocument/2006/relationships/hyperlink" Target="https://www.sec.gov/Archives/edgar/data/1828972/000110465921148188/tm2134844d1_ex4-3.htm" TargetMode="External"/><Relationship Id="rId20" Type="http://schemas.openxmlformats.org/officeDocument/2006/relationships/hyperlink" Target="https://www.sec.gov/Archives/edgar/data/1828972/000110465921148188/tm2134844d1_ex4-3.htm" TargetMode="External"/><Relationship Id="rId21" Type="http://schemas.openxmlformats.org/officeDocument/2006/relationships/hyperlink" Target="https://www.sec.gov/Archives/edgar/data/1828972/000110465921148188/tm2134844d1_ex4-3.htm" TargetMode="External"/><Relationship Id="rId22" Type="http://schemas.openxmlformats.org/officeDocument/2006/relationships/hyperlink" Target="https://www.sec.gov/Archives/edgar/data/1828972/000182897223000141/buzzfeed-firstsupplemental.htm" TargetMode="External"/><Relationship Id="rId23" Type="http://schemas.openxmlformats.org/officeDocument/2006/relationships/hyperlink" Target="https://www.sec.gov/Archives/edgar/data/1828972/000182897223000141/buzzfeed-firstsupplemental.htm" TargetMode="External"/><Relationship Id="rId24" Type="http://schemas.openxmlformats.org/officeDocument/2006/relationships/hyperlink" Target="https://www.sec.gov/Archives/edgar/data/1828972/000182897223000141/buzzfeed-firstsupplemental.htm" TargetMode="External"/><Relationship Id="rId25" Type="http://schemas.openxmlformats.org/officeDocument/2006/relationships/hyperlink" Target="https://www.sec.gov/Archives/edgar/data/1828972/000182897224000019/exhibit41-secondsupplement.htm" TargetMode="External"/><Relationship Id="rId26" Type="http://schemas.openxmlformats.org/officeDocument/2006/relationships/hyperlink" Target="https://www.sec.gov/Archives/edgar/data/1828972/000110465921098380/tm2122219d3_ex10-6.htm" TargetMode="External"/><Relationship Id="rId27" Type="http://schemas.openxmlformats.org/officeDocument/2006/relationships/hyperlink" Target="https://www.sec.gov/Archives/edgar/data/1828972/000110465921004786/tm213318d1_ex4-1.htm" TargetMode="External"/><Relationship Id="rId28" Type="http://schemas.openxmlformats.org/officeDocument/2006/relationships/hyperlink" Target="https://www.sec.gov/Archives/edgar/data/1828972/000110465921148188/tm2134844d1_ex10-8.htm" TargetMode="External"/><Relationship Id="rId29" Type="http://schemas.openxmlformats.org/officeDocument/2006/relationships/hyperlink" Target="https://www.sec.gov/Archives/edgar/data/1828972/000110465921098380/tm2122219d3_ex10-9.htm" TargetMode="External"/><Relationship Id="rId30" Type="http://schemas.openxmlformats.org/officeDocument/2006/relationships/hyperlink" Target="https://www.sec.gov/Archives/edgar/data/1828972/000110465921148188/tm2134844d1_ex10-1.htm" TargetMode="External"/><Relationship Id="rId31" Type="http://schemas.openxmlformats.org/officeDocument/2006/relationships/hyperlink" Target="https://www.sec.gov/Archives/edgar/data/1828972/000110465921148188/tm2134844d1_ex10-1.htm" TargetMode="External"/><Relationship Id="rId32" Type="http://schemas.openxmlformats.org/officeDocument/2006/relationships/hyperlink" Target="https://www.sec.gov/Archives/edgar/data/1828972/000110465921148188/tm2134844d1_ex10-1.htm" TargetMode="External"/><Relationship Id="rId33" Type="http://schemas.openxmlformats.org/officeDocument/2006/relationships/hyperlink" Target="https://www.sec.gov/Archives/edgar/data/1828972/000110465921148188/tm2134844d1_ex10-1.htm" TargetMode="External"/><Relationship Id="rId34" Type="http://schemas.openxmlformats.org/officeDocument/2006/relationships/hyperlink" Target="https://www.sec.gov/Archives/edgar/data/1828972/000110465921148188/tm2134844d1_ex10-1.htm" TargetMode="External"/><Relationship Id="rId35" Type="http://schemas.openxmlformats.org/officeDocument/2006/relationships/hyperlink" Target="https://www.sec.gov/Archives/edgar/data/1828972/000110465921148188/tm2134844d1_ex10-4.htm" TargetMode="External"/><Relationship Id="rId36" Type="http://schemas.openxmlformats.org/officeDocument/2006/relationships/hyperlink" Target="https://www.sec.gov/Archives/edgar/data/1828972/000110465921148188/tm2134844d1_ex10-19.htm" TargetMode="External"/><Relationship Id="rId37" Type="http://schemas.openxmlformats.org/officeDocument/2006/relationships/hyperlink" Target="https://www.sec.gov/Archives/edgar/data/1828972/000110465921148188/tm2134844d1_ex10-22.htm" TargetMode="External"/><Relationship Id="rId38" Type="http://schemas.openxmlformats.org/officeDocument/2006/relationships/hyperlink" Target="https://www.sec.gov/Archives/edgar/data/1828972/000110465922127380/tm2232634d1_ex10-1.htm" TargetMode="External"/><Relationship Id="rId39" Type="http://schemas.openxmlformats.org/officeDocument/2006/relationships/hyperlink" Target="https://www.sec.gov/Archives/edgar/data/1828972/000182897223000084/whiteoakjoinderagreement05.htm" TargetMode="External"/><Relationship Id="rId40" Type="http://schemas.openxmlformats.org/officeDocument/2006/relationships/hyperlink" Target="https://www.sec.gov/Archives/edgar/data/1828972/000182897223000128/secondamendmenttoarloanand.htm" TargetMode="External"/><Relationship Id="rId41" Type="http://schemas.openxmlformats.org/officeDocument/2006/relationships/hyperlink" Target="https://www.sec.gov/Archives/edgar/data/1828972/000182897223000170/thirdamendmenttoarloanands.htm" TargetMode="External"/><Relationship Id="rId42" Type="http://schemas.openxmlformats.org/officeDocument/2006/relationships/hyperlink" Target="https://www.sec.gov/Archives/edgar/data/1828972/000182897223000170/thirdamendmenttoarloanands.htm" TargetMode="External"/><Relationship Id="rId43" Type="http://schemas.openxmlformats.org/officeDocument/2006/relationships/hyperlink" Target="https://www.sec.gov/Archives/edgar/data/1828972/000110465922091765/tm2223536d1_ex10-1.htm" TargetMode="External"/><Relationship Id="rId44" Type="http://schemas.openxmlformats.org/officeDocument/2006/relationships/hyperlink" Target="https://www.sec.gov/Archives/edgar/data/1828972/000110465922013660/tm225366d1_ex99-1.htm" TargetMode="External"/><Relationship Id="rId45" Type="http://schemas.openxmlformats.org/officeDocument/2006/relationships/hyperlink" Target="https://www.sec.gov/Archives/edgar/data/1828972/000110465921148188/tm2134844d1_ex10-10.htm" TargetMode="External"/><Relationship Id="rId46" Type="http://schemas.openxmlformats.org/officeDocument/2006/relationships/hyperlink" Target="https://www.sec.gov/Archives/edgar/data/1828972/000110465921148188/tm2134844d1_ex10-11.htm" TargetMode="External"/><Relationship Id="rId47" Type="http://schemas.openxmlformats.org/officeDocument/2006/relationships/hyperlink" Target="https://www.sec.gov/Archives/edgar/data/1828972/000110465921148188/tm2134844d1_ex10-12.htm" TargetMode="External"/><Relationship Id="rId48" Type="http://schemas.openxmlformats.org/officeDocument/2006/relationships/hyperlink" Target="https://www.sec.gov/Archives/edgar/data/1828972/000110465921148188/tm2134844d1_ex10-13.htm" TargetMode="External"/><Relationship Id="rId49" Type="http://schemas.openxmlformats.org/officeDocument/2006/relationships/hyperlink" Target="https://www.sec.gov/Archives/edgar/data/1828972/000110465921148188/tm2134844d1_ex10-14.htm" TargetMode="External"/><Relationship Id="rId50" Type="http://schemas.openxmlformats.org/officeDocument/2006/relationships/hyperlink" Target="https://www.sec.gov/Archives/edgar/data/1828972/000110465921148188/tm2134844d1_ex10-15.htm" TargetMode="External"/><Relationship Id="rId51" Type="http://schemas.openxmlformats.org/officeDocument/2006/relationships/hyperlink" Target="https://www.sec.gov/Archives/edgar/data/1828972/000110465921148188/tm2134844d1_ex10-16.htm" TargetMode="External"/><Relationship Id="rId52" Type="http://schemas.openxmlformats.org/officeDocument/2006/relationships/hyperlink" Target="https://www.sec.gov/Archives/edgar/data/1828972/000110465922003154/bzfd-20220111xex10d18.htm" TargetMode="External"/><Relationship Id="rId53" Type="http://schemas.openxmlformats.org/officeDocument/2006/relationships/hyperlink" Target="https://www.sec.gov/Archives/edgar/data/1828972/000182897223000029/bzfd-20221231xexx1025.htm" TargetMode="External"/><Relationship Id="rId54" Type="http://schemas.openxmlformats.org/officeDocument/2006/relationships/hyperlink" Target="https://www.sec.gov/Archives/edgar/data/1828972/000110465922056670/tm2214675d1_ex10-1.htm" TargetMode="External"/><Relationship Id="rId55" Type="http://schemas.openxmlformats.org/officeDocument/2006/relationships/hyperlink" Target="https://www.sec.gov/Archives/edgar/data/1828972/000110465922088008/tm2222745d2_ex10-1.htm" TargetMode="External"/><Relationship Id="rId56" Type="http://schemas.openxmlformats.org/officeDocument/2006/relationships/hyperlink" Target="https://www.sec.gov/Archives/edgar/data/0001828972/000110465922017086/tm224773d1_ex10-1.htm" TargetMode="External"/><Relationship Id="rId57" Type="http://schemas.openxmlformats.org/officeDocument/2006/relationships/hyperlink" Target="https://www.sec.gov/Archives/edgar/data/0001828972/000110465922017086/tm224773d1_ex10-1.htm" TargetMode="External"/><Relationship Id="rId58" Type="http://schemas.openxmlformats.org/officeDocument/2006/relationships/hyperlink" Target="https://www.sec.gov/Archives/edgar/data/0001828972/000110465922017086/tm224773d1_ex10-1.htm" TargetMode="External"/><Relationship Id="rId59" Type="http://schemas.openxmlformats.org/officeDocument/2006/relationships/hyperlink" Target="https://www.sec.gov/Archives/edgar/data/0001828972/000110465922017086/tm224773d1_ex10-1.htm" TargetMode="External"/><Relationship Id="rId60" Type="http://schemas.openxmlformats.org/officeDocument/2006/relationships/hyperlink" Target="https://www.sec.gov/Archives/edgar/data/0001828972/000110465922017086/tm224773d1_ex10-1.htm" TargetMode="External"/><Relationship Id="rId61" Type="http://schemas.openxmlformats.org/officeDocument/2006/relationships/hyperlink" Target="https://www.sec.gov/Archives/edgar/data/1828972/000182897223000084/joanambleadviseragreement.htm" TargetMode="External"/><Relationship Id="rId62" Type="http://schemas.openxmlformats.org/officeDocument/2006/relationships/hyperlink" Target="https://www.sec.gov/Archives/edgar/data/1828972/000182897223000084/gregcolemanadviseragreement.htm" TargetMode="External"/><Relationship Id="rId63" Type="http://schemas.openxmlformats.org/officeDocument/2006/relationships/hyperlink" Target="https://www.sec.gov/Archives/edgar/data/1828972/000182897223000029/bzfd-20221231xexx1026.htm" TargetMode="External"/><Relationship Id="rId64" Type="http://schemas.openxmlformats.org/officeDocument/2006/relationships/hyperlink" Target="https://www.sec.gov/Archives/edgar/data/1828972/000182897223000029/bzfd-20221231xexx1026.htm" TargetMode="External"/><Relationship Id="rId65" Type="http://schemas.openxmlformats.org/officeDocument/2006/relationships/hyperlink" Target="https://www.sec.gov/Archives/edgar/data/1828972/000182897223000029/bzfd-20221231xexx1026.htm" TargetMode="External"/><Relationship Id="rId66" Type="http://schemas.openxmlformats.org/officeDocument/2006/relationships/hyperlink" Target="https://www.sec.gov/Archives/edgar/data/1828972/000110465921113801/tm2122219d6_ex10-14.htm" TargetMode="External"/><Relationship Id="rId67" Type="http://schemas.openxmlformats.org/officeDocument/2006/relationships/image" Target="media/image2.png"/><Relationship Id="rId68" Type="http://schemas.openxmlformats.org/officeDocument/2006/relationships/image" Target="media/image2.png"/><Relationship Id="rId69" Type="http://schemas.openxmlformats.org/officeDocument/2006/relationships/image" Target="media/image2.png"/><Relationship Id="rId70" Type="http://schemas.openxmlformats.org/officeDocument/2006/relationships/image" Target="media/image2.png"/><Relationship Id="rId71" Type="http://schemas.openxmlformats.org/officeDocument/2006/relationships/image" Target="media/image2.png"/><Relationship Id="rId72" Type="http://schemas.openxmlformats.org/officeDocument/2006/relationships/image" Target="media/image3.png"/><Relationship Id="rId73" Type="http://schemas.openxmlformats.org/officeDocument/2006/relationships/image" Target="media/image2.png"/><Relationship Id="rId74" Type="http://schemas.openxmlformats.org/officeDocument/2006/relationships/image" Target="media/image2.png"/><Relationship Id="rId75" Type="http://schemas.openxmlformats.org/officeDocument/2006/relationships/image" Target="media/image2.png"/><Relationship Id="rId76" Type="http://schemas.openxmlformats.org/officeDocument/2006/relationships/image" Target="media/image2.png"/><Relationship Id="rId77" Type="http://schemas.openxmlformats.org/officeDocument/2006/relationships/image" Target="media/image2.png"/><Relationship Id="rId78" Type="http://schemas.openxmlformats.org/officeDocument/2006/relationships/image" Target="media/image4.png"/><Relationship Id="rId79" Type="http://schemas.openxmlformats.org/officeDocument/2006/relationships/image" Target="media/image5.png"/><Relationship Id="rId80" Type="http://schemas.openxmlformats.org/officeDocument/2006/relationships/image" Target="media/image5.png"/><Relationship Id="rId81" Type="http://schemas.openxmlformats.org/officeDocument/2006/relationships/image" Target="media/image5.png"/><Relationship Id="rId82" Type="http://schemas.openxmlformats.org/officeDocument/2006/relationships/image" Target="media/image5.png"/><Relationship Id="rId83" Type="http://schemas.openxmlformats.org/officeDocument/2006/relationships/image" Target="media/image5.png"/><Relationship Id="rId84" Type="http://schemas.openxmlformats.org/officeDocument/2006/relationships/image" Target="media/image5.png"/><Relationship Id="rId85" Type="http://schemas.openxmlformats.org/officeDocument/2006/relationships/image" Target="media/image4.png"/><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81</Pages>
  <Words>100421</Words>
  <Characters>553003</Characters>
  <CharactersWithSpaces>651383</CharactersWithSpaces>
  <Paragraphs>5771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