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083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08330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Omer Matthew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W. 23RD STREET,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BuzzFeed,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BZFD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CFO</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28"/>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71,322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406,867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17,091</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423,958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1,667</w:t>
            </w:r>
            <w:r>
              <w:rPr>
                <w:rFonts w:ascii="Times New Roman" w:cs="Times New Roman" w:eastAsia="Times New Roman" w:hAnsi="Times New Roman"/>
                <w:sz w:val="21"/>
                <w:szCs w:val="21"/>
                <w:color w:val="008000"/>
                <w:w w:val="98"/>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425,625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33,531</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392,094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71,322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w w:val="94"/>
              </w:rPr>
              <w:t>71,322</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142,648</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17,091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w w:val="94"/>
              </w:rPr>
              <w:t>17,091</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1,667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1"/>
              <w:spacing w:after="0" w:line="142" w:lineRule="exact"/>
              <w:rPr>
                <w:sz w:val="20"/>
                <w:szCs w:val="20"/>
                <w:color w:val="auto"/>
              </w:rPr>
            </w:pPr>
            <w:r>
              <w:rPr>
                <w:rFonts w:ascii="Times New Roman" w:cs="Times New Roman" w:eastAsia="Times New Roman" w:hAnsi="Times New Roman"/>
                <w:sz w:val="13"/>
                <w:szCs w:val="13"/>
                <w:color w:val="0000FF"/>
              </w:rPr>
              <w:t>1,667</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1,667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A common stock reflect the settlement, on May 14, 2026, of restricted stock units ("RSUs") granted to the Reporting Person pursuant to the 2021 Equity Incentive Plan, each of which was converted into a share of Issuer's Class A common stock on a 1-for-1 basis.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pay taxes applicable to the settlement of the RSUs previously awarded to the Reporting Person to which footnote (1) refers.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 subject to the Reporting Person's continued status as a service provider to the Issuer.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71,322 RSUs settled on the transaction date. The remaining 142,648 RSUs vest as to 1/12 of the total award quarterly in equal installments on the 1st of August, November, February and May thereafter.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expire; they either vest or are cancelled prior to the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 grant vested one hundred percent of the total award on February 25,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1,667 RSUs settled on the transaction date. The remaining 1,667 RSUs vest as to 1/12 of the total award quarterly in equal installments on the 19th of May.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Flores-Ricks,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62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Matthew</w:t>
      </w:r>
      <w:r>
        <w:rPr>
          <w:sz w:val="20"/>
          <w:szCs w:val="20"/>
          <w:color w:val="auto"/>
        </w:rPr>
        <w:tab/>
      </w: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42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257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9846" TargetMode="External"/><Relationship Id="rId14"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2026-05-18T17:32:57Z</dcterms:created>
  <dcterms:modified xsi:type="dcterms:W3CDTF">2026-05-18T17:32:57Z</dcterms:modified>
</cp:coreProperties>
</file>